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pPr>
        <w:pStyle w:val="aa"/>
      </w:pPr>
      <w:r>
        <w:t>Соглашение о конфиденциальности</w:t>
      </w:r>
    </w:p>
    <w:p>
      <w:r>
        <w:t>Отдел правовой поддержки</w:t>
      </w:r>
    </w:p>
    <w:p>
      <w:r>
        <w:t>Редакция от 23 октября 2026 года</w:t>
      </w:r>
    </w:p>
    <w:p>
      <w:r>
        <w:t>Контакты: orders@egorov-consulting.ru • Oleg-Yegorov-62@inbox.ru</w:t>
      </w:r>
    </w:p>
    <w:p>
      <w:r>
        <w:t>Соглашение № __________   г. __________________   «___» __________ 20___ г.</w:t>
      </w:r>
    </w:p>
    <w:p>
      <w:r>
        <w:t>Индивидуальный предприниматель Егорова Елена, ИНН 772989135527, ОГРНИП 325774600197781, именуемая в дальнейшем «Исполнитель», в лице Егорова Олега Александровича, действующего на основании доверенности № 01 от 16.09.2025, с одной стороны, и ______________________________________________, именуемый(ая) в дальнейшем «Заказчик», в лице ______________________________________________, действующего на основании __________________________________, с другой стороны, совместно именуемые «Стороны», заключили настоящее соглашение о нижеследующем.</w:t>
      </w:r>
    </w:p>
    <w:p>
      <w:pPr>
        <w:pStyle w:val="1"/>
      </w:pPr>
      <w:r>
        <w:t>1. Предмет и цель обмена информацией</w:t>
      </w:r>
    </w:p>
    <w:p>
      <w:r>
        <w:t>1.1. Стороны устанавливают порядок передачи, использования и защиты непубличной информации при предварительном изучении обращения и оказании услуг по подготовке и проверке юридических документов по заданию: ______________________________ (далее — Проект). Цель обмена — оценка возможности выполнения задания и его исполнение в согласованных пределах.</w:t>
      </w:r>
    </w:p>
    <w:p>
      <w:r>
        <w:t>1.2. Передающей стороной является Сторона, которая правомерно раскрывает сведения; Получающей стороной — Сторона, которая их получает. Каждая из Сторон может выступать в обеих ролях. Обязательства применяются также к сведениям, переданным до подписания, только если такие материалы прямо перечислены Сторонами в письменном подтверждении.</w:t>
      </w:r>
    </w:p>
    <w:p>
      <w:r>
        <w:t>1.3. Соглашение не обязывает заключить договор на услуги и не предоставляет полномочий представителя. Состав правовой поддержки, документы, цена и сроки определяются отдельным договором и заданием. Соглашение устанавливает договорную конфиденциальность и само по себе не создаёт режима адвокатской тайны.</w:t>
      </w:r>
    </w:p>
    <w:p>
      <w:pPr>
        <w:pStyle w:val="1"/>
      </w:pPr>
      <w:r>
        <w:t>2. Состав и обозначение защищаемой информации</w:t>
      </w:r>
    </w:p>
    <w:p>
      <w:r>
        <w:t>2.1. Защищаются непубличные сведения об обстоятельствах обращения, участниках и третьих лицах; договоры и приложения, претензии и ответы, жалобы и заявления, судебные материалы и доказательства, правовые позиции, проекты соглашений, расчёты требований, переписка и условия урегулирования. Защита распространяется на личные и семейные, имущественные, финансовые и коммерческие сведения, персональные данные, промежуточные версии документов и заключения по проверке.</w:t>
      </w:r>
      <w:r>
        <w:t xml:space="preserve"> К таким материалам относятся также непубличные сведения и документы исполнительного производства: постановления и ответы ФССП, переписка, сведения об удержаниях, счетах и платежах — в объёме, необходимом для согласованной задачи.</w:t>
      </w:r>
    </w:p>
    <w:p>
      <w:r>
        <w:t>2.2. Защита распространяется на оригиналы, копии, выписки, таблицы, переписку, электронные файлы и производные материалы в той части, в которой они раскрывают защищаемые сведения. Информация обозначается пометкой «Конфиденциально», перечнем передаваемых файлов либо письменным сообщением о закрытом характере сведений. Отсутствие пометки не отменяет защиту, если конфиденциальность следует из содержания и обстоятельств передачи.</w:t>
      </w:r>
    </w:p>
    <w:p>
      <w:r>
        <w:t>2.3. При устном сообщении или демонстрации Передающая сторона указывает на конфиденциальный характер сведений и направляет письменное описание, позволяющее определить предмет раскрытия. Пока содержание не уточнено, Получающая сторона не использует спорные сведения вне цели Проекта и запрашивает разъяснение.</w:t>
      </w:r>
    </w:p>
    <w:p>
      <w:r>
        <w:t>2.4. Для информации, составляющей коммерческую тайну, обладатель обеспечивает применимые меры, предусмотренные Федеральным законом от 29.07.2004 № 98-ФЗ, включая надлежащее обозначение носителей. Соглашение само по себе не заменяет установление режима коммерческой тайны. Сведения, которые по закону не могут составлять коммерческую тайну, не приобретают такой статус вследствие подписания Соглашения.</w:t>
      </w:r>
    </w:p>
    <w:p>
      <w:pPr>
        <w:pStyle w:val="1"/>
      </w:pPr>
      <w:r>
        <w:t>3. Исключения и правомерное раскрытие</w:t>
      </w:r>
    </w:p>
    <w:p>
      <w:r>
        <w:t>3.1. Ограничения не применяются к сведениям, которые Получающая сторона документально подтверждает как: общедоступные без нарушения Соглашения; правомерно известные ей до раскрытия; законно полученные от третьего лица без обязанности сохранять тайну; самостоятельно разработанные без использования информации Передающей стороны; письменно разрешённые к раскрытию в соответствующем объёме.</w:t>
      </w:r>
    </w:p>
    <w:p>
      <w:r>
        <w:t>3.2. Опубликование отдельного судебного акта или общедоступность одного документа не делает открытыми весь комплект материалов, переписку, правовую позицию, сведения о переговорах и персональные данные, отсутствующие в общедоступном источнике.</w:t>
      </w:r>
    </w:p>
    <w:p>
      <w:r>
        <w:t>3.3. Раскрытие суду, государственному органу либо иному уполномоченному получателю допускается при наличии предусмотренного законом основания. Передаются только требуемые сведения. Если уведомление не запрещено, Получающая сторона сообщает Передающей стороне о требовании и объёме раскрытия, сохраняя подтверждающие документы.</w:t>
      </w:r>
    </w:p>
    <w:p>
      <w:pPr>
        <w:pStyle w:val="1"/>
      </w:pPr>
      <w:r>
        <w:t>4. Доступ и использование материалов</w:t>
      </w:r>
    </w:p>
    <w:p>
      <w:r>
        <w:t>4.1. Получающая сторона использует сведения исключительно для цели, указанной в пункте 1.1, и не применяет их в собственных или чужих проектах без письменного разрешения обладателя. Запрещены несогласованные публикации, реклама, размещение в портфолио и передача третьим лицам, в том числе под видом обезличенного примера, если возможно восстановить сведения о Проекте.</w:t>
      </w:r>
    </w:p>
    <w:p>
      <w:r>
        <w:t>4.2. Доступ предоставляется только лицам, участие которых необходимо для Проекта, в объёме их задач. До предоставления доступа обеспечиваются обязательства о конфиденциальности и законное основание обработки персональных данных. Привлекающая сторона отвечает за действия лиц, которым она предоставила доступ, в соответствии с законом и Соглашением.</w:t>
      </w:r>
    </w:p>
    <w:p>
      <w:r>
        <w:t>4.3. Стороны согласуют получателей и каналы обмена. Оригиналы передаются только при необходимости по описи с указанием срока возврата; по общему правилу используются копии. Передача подготовленного документа суду, органу, нотариусу, контрагенту или другому адресату по поручению Заказчика требует отдельного согласования объёма и полномочий. Подготовка документа не означает разрешения на его отправку.</w:t>
      </w:r>
    </w:p>
    <w:p>
      <w:r>
        <w:t>4.4. Не допускаются загрузка закрытых материалов в общедоступные сервисы, передача внешним системам искусственного интеллекта, использование для обучения моделей или включение в общие базы знаний без предварительного письменного разрешения обладателя и выполнения требований закона. Разрешение на обработку материалов не означает разрешения на обучение системы на этих материалах. Письменное согласование определяет конкретный сервис, цель, перечень данных и операций, условия хранения, удаления и доступ поставщика; использование данных для обучения согласуется отдельно. Общая ссылка на применение ИИ в проекте не считается таким разрешением.</w:t>
      </w:r>
    </w:p>
    <w:p>
      <w:r>
        <w:t>4.5. Получающая сторона принимает соразмерные характеру информации меры: разграничение доступа, защиту учётных записей, ограничение копирования и пересылки, защиту устройств и носителей, своевременный отзыв доступа. Конкретные дополнительные меры, если они необходимы Проекту, Стороны фиксируют письменно до передачи соответствующих материалов.</w:t>
      </w:r>
    </w:p>
    <w:p>
      <w:pPr>
        <w:pStyle w:val="1"/>
      </w:pPr>
      <w:r>
        <w:t>5. Персональные данные и инциденты</w:t>
      </w:r>
    </w:p>
    <w:p>
      <w:r>
        <w:t>5.1. Персональные данные передаются при наличии законного основания, в объёме, необходимом для задания. Ненужные реквизиты маскируются. Данные третьих лиц, несовершеннолетних, специальные категории и биометрические данные принимаются только после определения применимого основания и необходимых мер защиты. Соглашение не заменяет отдельное согласие, когда оно требуется законом, или поручение на обработку.</w:t>
      </w:r>
    </w:p>
    <w:p>
      <w:r>
        <w:t>5.2. Если Исполнитель обрабатывает данные по поручению Заказчика как оператора, до передачи оформляется поручение по части 3 статьи 6 Закона № 152-ФЗ: перечни данных и операций, цели, сроки, конфиденциальность, требования части 5 статьи 18, статей 18.1 и 19, подтверждение мер защиты, уведомление об инцидентах по части 3.1 статьи 21, возврат и удаление. Если Сторона самостоятельно определяет цель обработки, она исполняет обязанности оператора в соответствующей части. При отсутствии законного основания идентифицирующие сведения не передаются.</w:t>
      </w:r>
    </w:p>
    <w:p>
      <w:r>
        <w:t>5.3. При обнаружении утраты носителя, ошибочной отправки, несанкционированного доступа или иного нарушения Получающая сторона без неоправданной задержки, но не позднее 12 часов после обнаружения, уведомляет другую Сторону по согласованным контактам, ограничивает распространение и сохраняет сведения, необходимые для выяснения обстоятельств. Первичное сообщение включает известные факты, затронутые материалы, принятые меры и контакт ответственного лица; сведения дополняются по мере проверки.</w:t>
      </w:r>
    </w:p>
    <w:p>
      <w:r>
        <w:t>5.4. Обязательные уведомления уполномоченного органа при инциденте с персональными данными направляет соответствующий оператор в порядке и сроки статьи 21 Закона № 152-ФЗ. Взаимное уведомление Сторон не заменяет обязанности перед государственным органом.</w:t>
      </w:r>
    </w:p>
    <w:p>
      <w:pPr>
        <w:pStyle w:val="1"/>
      </w:pPr>
      <w:r>
        <w:t>6. Возврат и уничтожение</w:t>
      </w:r>
    </w:p>
    <w:p>
      <w:r>
        <w:t>6.1. После завершения цели обмена либо по письменному требованию обладателя Получающая сторона прекращает использование и возвращает или уничтожает материалы в течение 10 рабочих дней, если иной законный срок не согласован письменно. В отношении персональных данных приоритет имеют обязательные сроки и основания законодательства.</w:t>
      </w:r>
    </w:p>
    <w:p>
      <w:r>
        <w:t>6.2. Сохранение отдельных экземпляров допускается, когда оно необходимо по закону или для защиты прав в конкретном споре при наличии законного основания. Такие экземпляры выделяются из текущей работы; доступ ограничивается, дальнейшее использование для иных проектов запрещается.</w:t>
      </w:r>
    </w:p>
    <w:p>
      <w:r>
        <w:t>6.3. Стороны отдельно определяют порядок удаления резервных копий с учётом технических возможностей и обязательных требований закона. Наличие резервной копии не разрешает повторное использование информации. По запросу обладателя Получающая сторона подтверждает выполненные действия и сообщает правовое основание и состав материалов, которые продолжают храниться.</w:t>
      </w:r>
    </w:p>
    <w:p>
      <w:r>
        <w:t>6.4. Возврат или уничтожение носителя не прекращает обязанность не раскрывать сведения, ставшие известными Получающей стороне.</w:t>
      </w:r>
    </w:p>
    <w:p>
      <w:pPr>
        <w:pStyle w:val="1"/>
      </w:pPr>
      <w:r>
        <w:t>7. Срок защиты и права на информацию</w:t>
      </w:r>
    </w:p>
    <w:p>
      <w:r>
        <w:t>7.1. Соглашение вступает в силу после подписания и охватывает обмен до завершения переговоров и исполнения Проекта. Срок договорной защиты — 5 лет после окончания обмена. Для охраняемых законом сведений сохраняются обязанности, действующие независимо от указанного срока.</w:t>
      </w:r>
    </w:p>
    <w:p>
      <w:r>
        <w:t>7.2. Передающая сторона сохраняет принадлежащие ей права на исходные материалы. Передача информации не предоставляет лицензию, право продажи, опубликования или использования вне Проекта. Права на создаваемый результат определяются договором на услуги.</w:t>
      </w:r>
    </w:p>
    <w:p>
      <w:r>
        <w:t>7.3. Прекращение переговоров, основного договора или фактической работы не освобождает от сохраняющихся обязанностей по защите, возврату, удалению информации и ответственности за допущенное нарушение.</w:t>
      </w:r>
    </w:p>
    <w:p>
      <w:pPr>
        <w:pStyle w:val="1"/>
      </w:pPr>
      <w:r>
        <w:t>8. Ответственность и разрешение споров</w:t>
      </w:r>
    </w:p>
    <w:p>
      <w:r>
        <w:t>8.1. При нарушении Соглашения применяются способы защиты и ответственность, предусмотренные законодательством Российской Федерации. Требование о возмещении убытков обосновывается в установленном законом порядке. Фиксированный штраф и ограничение ответственности настоящей формой не устанавливаются.</w:t>
      </w:r>
    </w:p>
    <w:p>
      <w:r>
        <w:t>8.2. Сторона, обнаружившая нарушение, вправе потребовать его прекращения, устранения последствий и возмещения подлежащих возмещению убытков. Само наличие технических мер защиты не освобождает нарушителя от предусмотренной законом ответственности.</w:t>
      </w:r>
    </w:p>
    <w:p>
      <w:r>
        <w:t>8.3. Претензия направляется по адресам раздела реквизитов с изложением обстоятельств и требования. Порядок и сроки досудебного урегулирования, когда оно обязательно, определяются законом. Споры рассматриваются компетентным судом; права потребителя, если закон о защите прав потребителей применим к отношениям, не ограничиваются.</w:t>
      </w:r>
    </w:p>
    <w:p>
      <w:pPr>
        <w:pStyle w:val="1"/>
      </w:pPr>
      <w:r>
        <w:t>9. Форма документов и заключительные положения</w:t>
      </w:r>
    </w:p>
    <w:p>
      <w:r>
        <w:t>9.1. Соглашение подписывается на бумаге либо в форме электронного документа с электронной подписью, отвечающей требованиям законодательства. Использование простой или неквалифицированной электронной подписи допускается только при наличии предусмотренных законом оснований и согласованных правил идентификации подписанта.</w:t>
      </w:r>
    </w:p>
    <w:p>
      <w:r>
        <w:t>9.2. Оперативная переписка ведётся с адресов, указанных в реквизитах или отдельно подтверждённых уполномоченными лицами. Обмен скан-копиями оценивается с учётом требований к письменной форме и возможности достоверно установить отправителя. Изменение Соглашения требует письменного согласования.</w:t>
      </w:r>
    </w:p>
    <w:p>
      <w:r>
        <w:t>9.3. Применяется право Российской Федерации, включая Гражданский кодекс РФ, законы № 98-ФЗ и № 152-ФЗ в применимой части. Недействительность отдельного положения не освобождает от исполнения остальных законных обязательств. Незаполненные индивидуальные условия согласуются до подписания.</w:t>
      </w:r>
    </w:p>
    <w:p>
      <w:pPr>
        <w:pStyle w:val="1"/>
      </w:pPr>
      <w:r>
        <w:t>Реквизиты и подписи сторон</w:t>
      </w:r>
    </w:p>
    <w:tbl>
      <w:tblPr>
        <w:tblW w:type="auto" w:w="0"/>
        <w:tblLayout w:type="fixed"/>
        <w:tblLook w:firstColumn="1" w:firstRow="1" w:lastColumn="0" w:lastRow="0" w:noHBand="0" w:noVBand="1" w:val="04A0"/>
      </w:tblPr>
      <w:tblGrid>
        <w:gridCol w:w="4933"/>
        <w:gridCol w:w="4933"/>
      </w:tblGrid>
      <w:tr>
        <w:trPr>
          <w:cantSplit/>
          <w:tblHeader/>
        </w:trPr>
        <w:tc>
          <w:tcPr>
            <w:tcW w:type="dxa" w:w="4932"/>
            <w:tcBorders>
              <w:top w:val="single" w:sz="4" w:color="D9D9D9"/>
              <w:left w:val="single" w:sz="4" w:color="D9D9D9"/>
              <w:bottom w:val="single" w:sz="4" w:color="D9D9D9"/>
              <w:right w:val="single" w:sz="4" w:color="D9D9D9"/>
            </w:tcBorders>
            <w:shd w:fill="303438"/>
            <w:vAlign w:val="center"/>
          </w:tcPr>
          <w:p>
            <w:pPr>
              <w:spacing w:after="80" w:before="80"/>
            </w:pPr>
            <w:r>
              <w:rPr>
                <w:b/>
                <w:color w:val="FFFFFF"/>
                <w:sz w:val="18"/>
              </w:rPr>
              <w:t>Исполнитель</w:t>
            </w:r>
          </w:p>
        </w:tc>
        <w:tc>
          <w:tcPr>
            <w:tcW w:type="dxa" w:w="4932"/>
            <w:tcBorders>
              <w:top w:val="single" w:sz="4" w:color="D9D9D9"/>
              <w:left w:val="single" w:sz="4" w:color="D9D9D9"/>
              <w:bottom w:val="single" w:sz="4" w:color="D9D9D9"/>
              <w:right w:val="single" w:sz="4" w:color="D9D9D9"/>
            </w:tcBorders>
            <w:shd w:fill="303438"/>
            <w:vAlign w:val="center"/>
          </w:tcPr>
          <w:p>
            <w:pPr>
              <w:spacing w:after="80" w:before="80"/>
            </w:pPr>
            <w:r>
              <w:rPr>
                <w:b/>
                <w:color w:val="FFFFFF"/>
                <w:sz w:val="18"/>
              </w:rPr>
              <w:t>Заказчик</w:t>
            </w:r>
          </w:p>
        </w:tc>
      </w:tr>
      <w:tr>
        <w:trPr>
          <w:cantSplit/>
        </w:trPr>
        <w:tc>
          <w:tcPr>
            <w:tcW w:type="dxa" w:w="4932"/>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ИП Егорова Елена</w:t>
              <w:br/>
              <w:t>ИНН 772989135527</w:t>
              <w:br/>
              <w:t>ОГРНИП 325774600197781</w:t>
              <w:br/>
              <w:t>119330, г. Москва, Ломоносовский проспект, д. 34</w:t>
              <w:br/>
              <w:t>Тел.: +7 915 484-83-08</w:t>
              <w:br/>
              <w:t>orders@egorov-consulting.ru</w:t>
              <w:br/>
              <w:t>Oleg-Yegorov-62@inbox.ru</w:t>
              <w:br/>
              <w:t>Банк / БИК: __________________</w:t>
              <w:br/>
              <w:t>Р/с / к/с: ____________________</w:t>
              <w:br/>
              <w:t>Представитель: Егоров Олег Александрович</w:t>
              <w:br/>
              <w:t>Доверенность № 01 от 16.09.2025</w:t>
              <w:br/>
              <w:t>Подпись: __________ / О. А. Егоров /</w:t>
              <w:br/>
              <w:t>Дата: __________   М. П. (при наличии)</w:t>
            </w:r>
          </w:p>
        </w:tc>
        <w:tc>
          <w:tcPr>
            <w:tcW w:type="dxa" w:w="4932"/>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Наименование / Ф. И. О.: ______________</w:t>
              <w:br/>
              <w:t>ИНН / ОГРН / ОГРНИП: _______________</w:t>
              <w:br/>
              <w:t>Адрес: ______________________________</w:t>
              <w:br/>
              <w:t>Телефон: ____________________________</w:t>
              <w:br/>
              <w:t>Электронная почта: ___________________</w:t>
              <w:br/>
              <w:t>Банк / БИК: _________________________</w:t>
              <w:br/>
              <w:t>Р/с / к/с: ___________________________</w:t>
              <w:br/>
              <w:t>Представитель: _______________________</w:t>
              <w:br/>
              <w:t>Основание полномочий: ________________</w:t>
              <w:br/>
              <w:t>Подпись: __________ / _______________ /</w:t>
              <w:br/>
              <w:t>Дата: __________   М. П. (при наличии)</w:t>
            </w:r>
          </w:p>
        </w:tc>
      </w:tr>
    </w:tbl>
    <w:sectPr w:rsidR="00482019" w:rsidRPr="00482019" w:rsidSect="00034616">
      <w:footerReference w:type="default" r:id="rId10"/>
      <w:headerReference w:type="first" r:id="rId11"/>
      <w:footerReference w:type="first" r:id="rId12"/>
      <w:headerReference w:type="default" r:id="rId15"/>
      <w:headerReference w:type="even" r:id="rId16"/>
      <w:footerReference w:type="even" r:id="rId17"/>
      <w:pgSz w:w="11906" w:h="16838"/>
      <w:pgMar w:top="1984" w:right="1020" w:bottom="964" w:left="1020" w:header="0" w:footer="4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A3497" w:rsidRDefault="00CA3497">
      <w:pPr>
        <w:spacing w:after="0" w:line="240" w:lineRule="auto"/>
      </w:pPr>
      <w:r>
        <w:separator/>
      </w:r>
    </w:p>
  </w:endnote>
  <w:endnote w:type="continuationSeparator" w:id="0">
    <w:p w:rsidR="00CA3497" w:rsidRDefault="00CA3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B1FE1" w:rsidRDefault="00AA53A1">
    <w:pPr>
      <w:pStyle w:val="a7"/>
      <w:tabs>
        <w:tab w:val="left" w:pos="4300"/>
      </w:tabs>
      <w:spacing w:after="0"/>
    </w:pPr>
    <w:r>
      <w:rPr>
        <w:sz w:val="16"/>
      </w:rPr>
      <w:t xml:space="preserve">Соглашение о конфиденциальности · ред. 02    |    </w:t>
    </w:r>
    <w:fldSimple w:instr="PAG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B1FE1" w:rsidRDefault="00AA53A1">
    <w:pPr>
      <w:pStyle w:val="a7"/>
      <w:tabs>
        <w:tab w:val="left" w:pos="4300"/>
      </w:tabs>
      <w:spacing w:after="0"/>
    </w:pPr>
    <w:r>
      <w:rPr>
        <w:sz w:val="16"/>
      </w:rPr>
      <w:t xml:space="preserve">Соглашение о конфиденциальности · ред. 02    |    </w:t>
    </w:r>
    <w:fldSimple w:instr="PAGE"/>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A3497" w:rsidRDefault="00CA3497">
      <w:pPr>
        <w:spacing w:after="0" w:line="240" w:lineRule="auto"/>
      </w:pPr>
      <w:r>
        <w:separator/>
      </w:r>
    </w:p>
  </w:footnote>
  <w:footnote w:type="continuationSeparator" w:id="0">
    <w:p w:rsidR="00CA3497" w:rsidRDefault="00CA34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pPr>
      <w:spacing w:after="0"/>
      <w:ind w:left="-1020"/>
    </w:pPr>
    <w:r>
      <w:drawing>
        <wp:inline xmlns:a="http://schemas.openxmlformats.org/drawingml/2006/main" xmlns:pic="http://schemas.openxmlformats.org/drawingml/2006/picture">
          <wp:extent cx="7560000" cy="1040977"/>
          <wp:docPr id="1" name="Picture 1"/>
          <wp:cNvGraphicFramePr>
            <a:graphicFrameLocks noChangeAspect="1"/>
          </wp:cNvGraphicFramePr>
          <a:graphic>
            <a:graphicData uri="http://schemas.openxmlformats.org/drawingml/2006/picture">
              <pic:pic>
                <pic:nvPicPr>
                  <pic:cNvPr id="0" name="legal147-header.png"/>
                  <pic:cNvPicPr/>
                </pic:nvPicPr>
                <pic:blipFill>
                  <a:blip r:embed="rId2"/>
                  <a:stretch>
                    <a:fillRect/>
                  </a:stretch>
                </pic:blipFill>
                <pic:spPr>
                  <a:xfrm>
                    <a:off x="0" y="0"/>
                    <a:ext cx="7560000" cy="1040977"/>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B1FE1"/>
    <w:rsid w:val="00326F90"/>
    <w:rsid w:val="0039520A"/>
    <w:rsid w:val="00482019"/>
    <w:rsid w:val="00AA1D8D"/>
    <w:rsid w:val="00AA53A1"/>
    <w:rsid w:val="00B47730"/>
    <w:rsid w:val="00CA3497"/>
    <w:rsid w:val="00CB0664"/>
    <w:rsid w:val="00EC2D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6534C0"/>
  <w14:defaultImageDpi w14:val="300"/>
  <w15:docId w15:val="{7BB6AEB0-5669-457E-9A61-0864B88C9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259" w:lineRule="auto"/>
    </w:pPr>
    <w:rPr>
      <w:rFonts w:ascii="Arial" w:hAnsi="Arial"/>
      <w:color w:val="20252B"/>
      <w:sz w:val="20"/>
    </w:rPr>
  </w:style>
  <w:style w:type="paragraph" w:styleId="1">
    <w:name w:val="heading 1"/>
    <w:basedOn w:val="a1"/>
    <w:next w:val="a1"/>
    <w:link w:val="10"/>
    <w:uiPriority w:val="9"/>
    <w:qFormat/>
    <w:rsid w:val="00FC693F"/>
    <w:pPr>
      <w:keepNext/>
      <w:keepLines/>
      <w:spacing w:after="120" w:line="480" w:lineRule="exact" w:before="200"/>
      <w:outlineLvl w:val="0"/>
    </w:pPr>
    <w:rPr>
      <w:rFonts w:asciiTheme="majorHAnsi" w:eastAsiaTheme="majorEastAsia" w:hAnsiTheme="majorHAnsi" w:cstheme="majorBidi" w:ascii="Arial" w:hAnsi="Arial"/>
      <w:b/>
      <w:bCs/>
      <w:color w:val="000000"/>
      <w:sz w:val="26"/>
      <w:szCs w:val="28"/>
    </w:rPr>
  </w:style>
  <w:style w:type="paragraph" w:styleId="21">
    <w:name w:val="heading 2"/>
    <w:basedOn w:val="a1"/>
    <w:next w:val="a1"/>
    <w:link w:val="22"/>
    <w:uiPriority w:val="9"/>
    <w:unhideWhenUsed/>
    <w:qFormat/>
    <w:rsid w:val="00FC693F"/>
    <w:pPr>
      <w:keepNext/>
      <w:keepLines/>
      <w:spacing w:before="200" w:after="120" w:line="320" w:lineRule="exact"/>
      <w:outlineLvl w:val="1"/>
    </w:pPr>
    <w:rPr>
      <w:rFonts w:asciiTheme="majorHAnsi" w:eastAsiaTheme="majorEastAsia" w:hAnsiTheme="majorHAnsi" w:cstheme="majorBidi" w:ascii="Arial" w:hAnsi="Arial"/>
      <w:b/>
      <w:bCs/>
      <w:color w:val="000000"/>
      <w:sz w:val="22"/>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after="120" w:line="480" w:lineRule="exact" w:before="200"/>
      <w:contextualSpacing/>
    </w:pPr>
    <w:rPr>
      <w:rFonts w:asciiTheme="majorHAnsi" w:eastAsiaTheme="majorEastAsia" w:hAnsiTheme="majorHAnsi" w:cstheme="majorBidi" w:ascii="Arial" w:hAnsi="Arial"/>
      <w:b/>
      <w:color w:val="000000"/>
      <w:spacing w:val="5"/>
      <w:kern w:val="28"/>
      <w:sz w:val="3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00" w:line="259" w:lineRule="auto"/>
    </w:pPr>
    <w:rPr>
      <w:rFonts w:ascii="Arial" w:hAnsi="Arial"/>
      <w:color w:val="20252B"/>
      <w:sz w:val="20"/>
    </w:r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 Id="rId15" Type="http://schemas.openxmlformats.org/officeDocument/2006/relationships/header" Target="header2.xml"/><Relationship Id="rId16" Type="http://schemas.openxmlformats.org/officeDocument/2006/relationships/header" Target="header3.xml"/><Relationship Id="rId17"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6F4C0-1247-4C85-9DCD-DBE7B4CE4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1611</Words>
  <Characters>9318</Characters>
  <Application>Microsoft Office Word</Application>
  <DocSecurity>0</DocSecurity>
  <Lines>388</Lines>
  <Paragraphs>303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Реестр услуг — Цифровые решения и искусственный интеллект</vt:lpstr>
      <vt:lpstr/>
    </vt:vector>
  </TitlesOfParts>
  <Manager/>
  <Company/>
  <LinksUpToDate>false</LinksUpToDate>
  <CharactersWithSpaces>10626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Соглашение о конфиденциальности</dc:title>
  <dc:subject/>
  <dc:creator>Егоров и Ко Консалтинг</dc:creator>
  <cp:keywords/>
  <dc:description/>
  <cp:lastModifiedBy>Пользователь</cp:lastModifiedBy>
  <cp:revision>2</cp:revision>
  <dcterms:created xsi:type="dcterms:W3CDTF">2026-10-13T08:42:00Z</dcterms:created>
  <dcterms:modified xsi:type="dcterms:W3CDTF">2026-10-13T08:42:00Z</dcterms:modified>
  <cp:category/>
</cp:coreProperties>
</file>