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aa"/>
      </w:pPr>
      <w:r>
        <w:t>Договор оказания цифровых услуг</w:t>
        <w:br/>
        <w:t>и выполнения работ</w:t>
      </w:r>
    </w:p>
    <w:p>
      <w:r>
        <w:t>Отдел цифровых решений и искусственного интеллекта</w:t>
      </w:r>
    </w:p>
    <w:p>
      <w:r>
        <w:t>Договор № ________    г. ______________    «___» __________ 20___ г.</w:t>
      </w:r>
    </w:p>
    <w:p>
      <w:r>
        <w:t>Индивидуальный предприниматель Егорова Елена, ИНН 772989135527, ОГРНИП 325774600197781, в лице представителя Егорова Олега Александровича, действующего на основании доверенности № 01 от 16.09.2025, именуемая «Исполнитель», и ________________________________________, именуемый(ая) «Заказчик», в лице __________________________, действующего на основании ______________________, совместно именуемые «Стороны», заключили настоящий договор. При заключении договора гражданином лично сведения о его представителе не заполняются.</w:t>
      </w:r>
    </w:p>
    <w:p>
      <w:pPr>
        <w:pStyle w:val="1"/>
      </w:pPr>
      <w:r>
        <w:t>1 Предмет и границы заказа</w:t>
      </w:r>
    </w:p>
    <w:p>
      <w:r>
        <w:t>1.1. Исполнитель оказывает цифровые услуги и выполняет работы по согласованному Техническому заданию и смете (Приложение № 1, далее — ТЗ), а Заказчик принимает результат и оплачивает заказ. Договор является смешанным: к соответствующим обязательствам применяются нормы об услугах, подряде и правах на результаты интеллектуальной деятельности. ТЗ подписывается до начала исполнения.</w:t>
      </w:r>
    </w:p>
    <w:p>
      <w:r>
        <w:t>1.2. Заказ может включать: лендинги и бизнес-сайты; автоматизацию с использованием искусственного интеллекта; интеллектуальных агентов и помощников; бизнес-интерфейсы и аналитические системы; презентации и цифровые материалы; продуктовую визуализацию и товарные карточки. Заказываются только прямо перечисленные в ТЗ позиции утверждённого реестра, с кодами, количеством и базовым объёмом.</w:t>
      </w:r>
    </w:p>
    <w:p>
      <w:r>
        <w:t>1.3. ТЗ определяет назначение, состав и границы работ, исходные материалы, платформы, интеграции, этапы, сроки, цену, форматы файлов, передаваемые исходники, права и проверяемые критерии приёмки. БРИФ используется для подготовки ТЗ и не расширяет его автоматически. Обновление сайта, прайса или реестра не изменяет действующий заказ.</w:t>
      </w:r>
    </w:p>
    <w:p>
      <w:r>
        <w:t>1.4. Приоритет имеют подписанные дополнительные соглашения, затем ТЗ в части индивидуальных параметров заказа, затем договор. Публикация сайта, подключение платных сервисов, запуск рассылок, изменение рабочих данных и иные действия в действующей системе допускаются только при прямо согласованном объёме и разрешении Заказчика.</w:t>
      </w:r>
    </w:p>
    <w:p>
      <w:r>
        <w:t>1.5. Сложные и нестандартные интеграции, восстановление данных, миграция, обработка сканов, разработка финансовой модели, юридическая экспертиза, профессиональная фотосъёмка и трёхмерное моделирование не включаются автоматически. Они требуют отдельной оценки и письменного согласования.</w:t>
      </w:r>
    </w:p>
    <w:p>
      <w:pPr>
        <w:pStyle w:val="1"/>
      </w:pPr>
      <w:r>
        <w:t>2 Организация исполнения и внешние сервисы</w:t>
      </w:r>
    </w:p>
    <w:p>
      <w:r>
        <w:t>2.1. Стороны назначают координаторов и согласуют каналы обмена. Исполнитель вправе привлекать специалистов, отвечая за порученную им работу. Доступ к закрытым материалам предоставляется по необходимости, при обязательствах конфиденциальности; привлечение обработчиков персональных данных согласуется отдельно.</w:t>
      </w:r>
    </w:p>
    <w:p>
      <w:r>
        <w:t>2.2. Заказчик предоставляет достоверные материалы, права на их использование, доступы и пояснения в срок по ТЗ. Исполнитель проверяет очевидные противоречия и пригодность материалов, сообщает о препятствиях и ограничениях. Неизвестные характеристики товара, финансовые показатели и иные факты не заменяются вымышленными сведениями.</w:t>
      </w:r>
    </w:p>
    <w:p>
      <w:r>
        <w:t>2.3. До подключения сторонних платформ Стороны фиксируют их перечень, владельцев учётных записей, ограничения лицензий, местонахождение данных и порядок оплаты. Домены, хостинг, лицензии, запросы к моделям ИИ, платные сообщения и внешние сервисы оплачиваются отдельно, если прямо не включены в смету. Покупки и превышение бюджета без письменного согласования не допускаются.</w:t>
      </w:r>
    </w:p>
    <w:p>
      <w:r>
        <w:t>2.4. Учётные записи, необходимые для самостоятельного использования результата, по возможности оформляются на Заказчика. Пароли, ключи доступа и токены передаются защищённым согласованным способом, отдельно от открытых файлов; не включаются в публичный код. Используются минимально необходимые права. По завершении работ временные доступы отзываются, ключи заменяются.</w:t>
      </w:r>
    </w:p>
    <w:p>
      <w:r>
        <w:t>2.5. Изменения проверяются в тестовой среде либо на копии данных. До воздействия на действующую систему согласуются резервное копирование, ответственный за него, порядок восстановления и время запуска. Удаление данных, платежи, массовые сообщения и другие значимые действия требуют отдельного подтверждения уполномоченного лица Заказчика.</w:t>
      </w:r>
    </w:p>
    <w:p>
      <w:r>
        <w:t>2.6. Тарифы, доступность и правила сторонних сервисов могут изменяться. Исполнитель сообщает о выявленном влиянии и предлагает варианты. Перенос на другой сервис или переработка согласуются до выполнения; сбой сервиса сам по себе не признаётся непреодолимой силой и не освобождает от ответственности за ошибки Исполнителя.</w:t>
      </w:r>
    </w:p>
    <w:p>
      <w:pPr>
        <w:pStyle w:val="1"/>
      </w:pPr>
      <w:r>
        <w:t>3 Сроки и изменение задания</w:t>
      </w:r>
    </w:p>
    <w:p>
      <w:r>
        <w:t>3.1. Работы начинаются после подписания договора и ТЗ, поступления аванса 50% и получения минимального комплекта материалов и доступов по ТЗ. Применяется последняя из этих дат; Исполнитель подтверждает старт и календарный план письменно. Рабочие дни определяются по пятидневной рабочей неделе и праздничным дням Российской Федерации.</w:t>
      </w:r>
    </w:p>
    <w:p>
      <w:r>
        <w:t>3.2. При задержке материалов, оплаты или обязательного согласования Исполнитель направляет уведомление с описанием препятствия и влияния на сроки. В предусмотренных законом пределах приостанавливается затронутая часть работ. Срок продлевается на подтверждённый период препятствия и необходимое время возобновления, не более 5 рабочих дней, если иной срок не согласован. Для потребителя соблюдаются обязательные правила закона.</w:t>
      </w:r>
    </w:p>
    <w:p>
      <w:r>
        <w:t>3.3. Новые страницы, сценарии, источники данных, интеграции, языки, форматы, роли, изменения утверждённой концепции и дополнительный объём оформляются письменным соглашением о составе, цене и сроках. До согласования выполняется действующее ТЗ в доступной части. Молчание не является согласием на платные дополнения.</w:t>
      </w:r>
    </w:p>
    <w:p>
      <w:pPr>
        <w:pStyle w:val="1"/>
      </w:pPr>
      <w:r>
        <w:t>4 Цена и порядок оплаты</w:t>
      </w:r>
    </w:p>
    <w:p>
      <w:r>
        <w:t>4.1. Итоговая цена фиксируется в ТЗ в рублях; цены «от» в прайсе относятся к указанному базовому объёму. В ТЗ и счёте указываются применимые ставка и сумма НДС либо основание его неначисления. Согласованная итоговая цена не увеличивается автоматически при изменении налогового статуса Исполнителя.</w:t>
      </w:r>
    </w:p>
    <w:p>
      <w:r>
        <w:t>4.2. Первый платёж — 50% цены в течение 3 рабочих дней после подписания договора и ТЗ и получения счёта, до начала работ. Второй платёж — 50% в течение 3 рабочих дней после приёмки по разделу 5 и получения итогового счёта. Для длительных проектов ТЗ может предусматривать этапы с оплатой 50/50 по каждому; сопровождение оплачивается за согласованный месячный период с лимитом часов и оплатой 50/50.</w:t>
      </w:r>
    </w:p>
    <w:p>
      <w:r>
        <w:t>4.3. Для приёмки до второго платежа предоставляется полный проверочный результат: файлы, тестовая версия, доступ к стенду и необходимые инструкции. Ограничения редактирования и водяные знаки допустимы только если не мешают проверить ТЗ. Если необходим исходный код или расчётный файл, предоставляется достаточный доступ для проверки. Одного уведомления о готовности недостаточно.</w:t>
      </w:r>
    </w:p>
    <w:p>
      <w:r>
        <w:t>4.4. Финальные файлы, предусмотренные ТЗ исходники, инструкции, доступы и права передаются не позднее 2 рабочих дней после полной оплаты соответствующего результата. До оплаты разрешены только проверка и приёмка с соблюдением конфиденциальности. При просрочке оплаты Исполнитель вправе приостановить передачу в пределах закона; блокировать уже переданную рабочую систему или удалять данные Заказчика он не вправе.</w:t>
      </w:r>
    </w:p>
    <w:p>
      <w:r>
        <w:t>4.5. Дополнительные работы и расходы согласуются заранее и оплачиваются 50/50, если Стороны письменно не установили иное для конкретных внешних расходов. Одинаковый объём не оплачивается дважды: услуга VIS-03 включает пять слайдов без повторного начисления VIS-02; применимые результаты оплаченного пилота или прототипа засчитываются при дальнейшем внедрении. Сумма зачёта фиксируется в смете.</w:t>
      </w:r>
    </w:p>
    <w:p>
      <w:r>
        <w:t>4.6. Банковские реквизиты указываются в разделе 12 и счёте. Об их изменении сообщается по согласованному каналу с возможностью проверки по известному телефону. Момент исполнения обязанности по оплате определяется применимыми нормами закона.</w:t>
      </w:r>
    </w:p>
    <w:p>
      <w:pPr>
        <w:pStyle w:val="1"/>
      </w:pPr>
      <w:r>
        <w:t>5 Передача результата и приёмка</w:t>
      </w:r>
    </w:p>
    <w:p>
      <w:r>
        <w:t>5.1. Исполнитель направляет результат, перечень файлов и версий, сведения о тестировании и акт по форме Приложения № 2. Срок проверки — 5 рабочих дней с получения доступного комплекта, если в ТЗ не согласован иной. На время подтверждённой недоступности материалов срок не течёт.</w:t>
      </w:r>
    </w:p>
    <w:p>
      <w:r>
        <w:t>5.2. Заказчик подписывает акт либо направляет консолидированный мотивированный перечень несоответствий с указанием пункта ТЗ, условий воспроизведения и, по возможности, снимков экрана или примеров. Субъективное несогласие с согласованной концепцией без нарушения ТЗ само по себе не является недостатком.</w:t>
      </w:r>
    </w:p>
    <w:p>
      <w:r>
        <w:t>5.3. Для предпринимательского или профессионального заказа при отсутствии акта или мотивированных замечаний в установленный срок доступный результат считается принятым; Исполнитель вправе оформить односторонний акт с доказательствами передачи. Это не исключает требований по скрытым недостаткам. Для Заказчика-потребителя приёмка молчанием не применяется.</w:t>
      </w:r>
    </w:p>
    <w:p>
      <w:r>
        <w:t>5.4. Подтверждённые несоответствия ТЗ по вине Исполнителя устраняются бесплатно в согласованный разумный срок, а при отсутствии согласования — в течение 10 рабочих дней, если обязательные нормы не требуют иного. Повторная проверка исправлений — 5 рабочих дней. Исправление ошибки не считается новым платным заданием.</w:t>
      </w:r>
    </w:p>
    <w:p>
      <w:r>
        <w:t>5.5. В стоимость проектных работ включены два консолидированных раунда правок в пределах ТЗ; каждый раунд — один согласованный перечень от Заказчика. Смена концепции или расширение задания согласуются отдельно. Число раундов не ограничивает устранение недостатков и законные права Заказчика.</w:t>
      </w:r>
    </w:p>
    <w:p>
      <w:r>
        <w:t>5.6. Проверяются согласованные сценарии, формы и адаптация сайта; обработка ошибок и журналирование автоматизации; контрольные ответы и ограничения ИИ-помощника; формулы, итоги и права доступа аналитического интерфейса; содержание и редактируемость презентаций; соответствие товару, бренду и форматам изображений. ТЗ устанавливает среду, набор тестов и измеримые пороги. Прототип не считается работающей системой, если внедрение отдельно не заказано.</w:t>
      </w:r>
    </w:p>
    <w:p>
      <w:r>
        <w:t>5.7. Гарантийный срок на созданный программный результат — 30 календарных дней с приёмки, если ТЗ не устанавливает больший. Он охватывает воспроизводимые отклонения от ТЗ в согласованной среде. Новые функции, изменения третьих лиц и новые версии внешних сервисов не включаются автоматически. Окончание этого срока не прекращает права на требования о недостатках, предоставленные законом.</w:t>
      </w:r>
    </w:p>
    <w:p>
      <w:pPr>
        <w:pStyle w:val="1"/>
      </w:pPr>
      <w:r>
        <w:t>6 Условия использования искусственного интеллекта и сопровождение</w:t>
      </w:r>
    </w:p>
    <w:p>
      <w:r>
        <w:t>6.1. До применения внешних систем ИИ согласуются сервис, назначение, состав передаваемых данных и допустимые операции. Закрытые материалы, персональные данные, ключи и внутренние базы не загружаются без законного основания и письменного согласования. Разрешение на обработку не означает разрешение на обучение моделей или включение материалов в общие базы знаний.</w:t>
      </w:r>
    </w:p>
    <w:p>
      <w:r>
        <w:t>6.2. Для интеллектуальных помощников ТЗ определяет разрешённые источники, роли, полномочия, запрещённые действия, контрольную выборку, критерии качества и передачу вопроса человеку. По умолчанию платежи, сделки, удаление данных и иные значимые действия выполняются только после подтверждения уполномоченным человеком.</w:t>
      </w:r>
    </w:p>
    <w:p>
      <w:r>
        <w:t>6.3. Ответы и изображения ИИ могут содержать ошибки и не гарантируют уникальность. Исполнитель проверяет результат в согласованном объёме и исправляет несоответствия ТЗ. Заказчик проверяет фактические и правовые сведения перед использованием в решениях или публикацией. Отсутствие гарантии продаж, прибыли, одобрения торговой площадкой или полной безошибочности ИИ не освобождает Исполнителя от обязательств по качеству.</w:t>
      </w:r>
    </w:p>
    <w:p>
      <w:r>
        <w:t>6.4. Для товарных изображений и карточек свойства, маркировка и комплектация берутся из материалов Заказчика. Изменение внешнего вида, надписей или характеристик товара требует согласования; предварительный просмотр не означает разрешения придумывать свойства. Соответствие специальным требованиям площадки проверяется только для согласованной площадки и даты требований.</w:t>
      </w:r>
    </w:p>
    <w:p>
      <w:r>
        <w:t>6.5. Сопровождение оформляется отдельной позицией: период, часы, перечень действий, сроки реакции, рабочее время и отчёт. Исполнитель ведёт учёт часов; превышение лимита требует предварительного согласования. Постоянное дежурство, новые функции и гарантия доступности 24/7 не включаются без прямого условия ТЗ.</w:t>
      </w:r>
    </w:p>
    <w:p>
      <w:pPr>
        <w:pStyle w:val="1"/>
      </w:pPr>
      <w:r>
        <w:t>7 Права на результат и передача исходников</w:t>
      </w:r>
    </w:p>
    <w:p>
      <w:r>
        <w:t>7.1. Права на материалы Заказчика сохраняются у их правообладателей. Заказчик разрешает использовать их только для исполнения договора и обеспечивает соответствующие права. Исполнитель обеспечивает права привлечённых авторов на создаваемые им результаты.</w:t>
      </w:r>
    </w:p>
    <w:p>
      <w:r>
        <w:t>7.2. Исключительное право на индивидуальные охраняемые результаты, специально созданные для Заказчика и перечисленные в ТЗ, принадлежит Исполнителю до полной оплаты соответствующего результата и переходит Заказчику в полном объёме после такой оплаты и передачи результата. Если для перехода требуется государственная регистрация, право переходит с её момента; Стороны подписывают необходимые документы в течение 10 рабочих дней. Вознаграждение за передачу права включено в цену и составляет 5% цены соответствующего результата по смете; если стоимость отдельно не выделена — 5% цены проектных работ по ТЗ, без внешних расходов и сопровождения.</w:t>
      </w:r>
    </w:p>
    <w:p>
      <w:r>
        <w:t>7.3. До полной оплаты Заказчик использует результат только для приёмки. После перехода права он вправе публиковать, воспроизводить, перерабатывать и коммерчески использовать индивидуальный результат, передавать права и поручать доработку третьим лицам. Исполнитель не сохраняет право использовать индивидуальное произведение для собственных нужд по пункту 2 статьи 1296 ГК РФ и не размещает его в портфолио без письменного согласия Заказчика.</w:t>
      </w:r>
    </w:p>
    <w:p>
      <w:r>
        <w:t>7.4. Предсуществующие инструменты, шаблоны и универсальные компоненты Исполнителя, прямо перечисленные в ТЗ, не отчуждаются. На включённые в результат компоненты после полной оплаты предоставляется простая лицензия на весь срок исключительного права, во всём мире, для воспроизведения, запуска, хранения, публичного показа, доведения до всеобщего сведения, переработки и распространения в составе результата. Разрешены передача экземпляров подрядчикам для обслуживания и сублицензирование в составе результата его пользователям и правопреемникам Заказчика. Самостоятельная перепродажа компонента отдельно от результата не разрешается. Лицензионное вознаграждение включено в цену и составляет 1% цены соответствующего результата, а при отсутствии отдельной цены — 1% цены проектных работ по ТЗ.</w:t>
      </w:r>
    </w:p>
    <w:p>
      <w:r>
        <w:t>7.5. Сторонние библиотеки, шрифты, изображения, платформы и компоненты с открытым исходным кодом используются по их лицензиям. До включения Исполнитель раскрывает в ТЗ существенные ограничения, обязательные платежи и требования раскрывать исходный код. Заказчику передаётся перечень компонентов и лицензий. Исключительные права на чужие компоненты не обещаются и не передаются.</w:t>
      </w:r>
    </w:p>
    <w:p>
      <w:r>
        <w:t>7.6. Для материалов, созданных с помощью ИИ, передаются файлы и правомочия, которыми Исполнитель законно располагает с учётом условий сервиса; наличие авторско-правовой охраны и исключительная уникальность автоматически не гарантируются. Результаты с человеческим творческим вкладом и сторонние элементы идентифицируются в перечне передаваемых объектов. Если исключительность критична, соответствующий способ создания согласуется в ТЗ до работ.</w:t>
      </w:r>
    </w:p>
    <w:p>
      <w:r>
        <w:t>7.7. Состав исходников фиксируется в ТЗ: код и инструкции сборки, схемы автоматизации, конфигурации и инструкции помощников, редактируемые макеты и презентации, файлы изображений, структура базы и инструкции развёртывания — по выбранным услугам. Для конструктора указываются передача учётной записи либо проекта и возможность экспорта. При отсутствии технической возможности экспорта это раскрывается до заказа. Общие внутренние инструменты не передаются; необходимые для самостоятельного использования согласованные материалы не удерживаются под этим предлогом.</w:t>
      </w:r>
    </w:p>
    <w:p>
      <w:pPr>
        <w:pStyle w:val="1"/>
      </w:pPr>
      <w:r>
        <w:t>8 Конфиденциальность и персональные данные</w:t>
      </w:r>
    </w:p>
    <w:p>
      <w:r>
        <w:t>8.1. Стороны защищают непубличные сведения о проекте: исходники, базы знаний, код, инструкции ИИ, схемы интеграций, коммерческие данные, доступы и результаты. Доступ — только участникам проекта с обязанностью конфиденциальности. Публичные на законном основании, ранее законно известные или независимо полученные сведения исключаются; наличие исключения подтверждает ссылающаяся Сторона.</w:t>
      </w:r>
    </w:p>
    <w:p>
      <w:r>
        <w:t>8.2. Отдельное подписанное соглашение о конфиденциальности применяется совместно с договором и имеет приоритет в части защиты информации. Без него договорная защита действует 5 лет после прекращения договора; более длительная обязательная защита по закону сохраняется. Публикация названия клиента, логотипа или примеров требует отдельного согласия.</w:t>
      </w:r>
    </w:p>
    <w:p>
      <w:r>
        <w:t>8.3. Стороны определяют законные основания обработки персональных данных и свои роли. До обработки по поручению Заказчика подписывается отдельное поручение по части 3 статьи 6 Закона № 152-ФЗ: данные, операции, цели, сроки, конфиденциальность, меры безопасности, выполнение применимых требований статей 18, 18.1 и 19, предоставление подтверждающих документов, инциденты, удаление и субобработчики. До этого используются тестовые или надлежащим образом обезличенные данные.</w:t>
      </w:r>
    </w:p>
    <w:p>
      <w:r>
        <w:t>8.4. Передача данных за рубеж, использование внешних облаков, локализация баз, специальные категории и биометрические данные оцениваются и согласуются до обработки. Договор не является согласием субъекта персональных данных. Политики сайта и тексты согласий предоставляются или отдельно согласуются Заказчиком; их юридическая разработка не включается автоматически в технические работы.</w:t>
      </w:r>
    </w:p>
    <w:p>
      <w:r>
        <w:t>8.5. О выявленной утрате, ошибочной передаче или неправомерном доступе Сторона уведомляет другую без неоправданной задержки, но не позднее 12 часов после обнаружения, сообщает известные факты и меры и дополняет сведения по мере проверки. Обязанности оператора по уведомлению уполномоченного органа сохраняются за ним.</w:t>
      </w:r>
    </w:p>
    <w:p>
      <w:r>
        <w:t>8.6. По завершении работ или законному требованию материалы возвращаются либо удаляются в течение 10 рабочих дней, если обязательные нормы не требуют более короткого срока. Согласуются сроки удаления резервных копий. Сохраняются только сведения, необходимые по закону или для защиты прав при наличии правового основания, с ограниченным доступом; использование для иных проектов запрещено.</w:t>
      </w:r>
    </w:p>
    <w:p>
      <w:pPr>
        <w:pStyle w:val="1"/>
      </w:pPr>
      <w:r>
        <w:t>9 Прекращение договора и ответственность</w:t>
      </w:r>
    </w:p>
    <w:p>
      <w:r>
        <w:t>9.1. Заказчик вправе отказаться от исполнения в предусмотренном законом порядке. Для части услуг применяются статья 782 ГК РФ и, при применимости, статья 32 Закона о защите прав потребителей. Для части работ Стороны согласовали отказ с оплатой фактически выполненной части и непосредственно связанных документально подтверждённых расходов, не учтённых в ней; возмещение упущенной выгоды из-за самого отказа не предусматривается. Неисполненная часть цены не удерживается автоматически; двойной учёт исключается.</w:t>
      </w:r>
    </w:p>
    <w:p>
      <w:r>
        <w:t>9.2. В течение 10 рабочих дней после прекращения Исполнитель передаёт расчёт, подтверждающие материалы и пригодный оплаченный частичный результат с правами по разделу 7; возвращает неиспользованный аванс. Обязательные более короткие сроки имеют приоритет. Спор не задерживает возврат неоспариваемой суммы. При нарушениях Исполнителя применяются предусмотренные законом специальные последствия.</w:t>
      </w:r>
    </w:p>
    <w:p>
      <w:r>
        <w:t>9.3. Отказ Исполнителя от услуг по своей инициативе допускается при полном возмещении убытков Заказчика в предусмотренных законом случаях. При нарушении встречных обязательств применяются законные правила уведомления, приостановления и прекращения с разумным сроком устранения препятствия.</w:t>
      </w:r>
    </w:p>
    <w:p>
      <w:r>
        <w:t>9.4. Ответственность определяется законом. Для предпринимательского заказа ответственность Исполнителя за неумышленное нарушение ограничивается ценой соответствующего ТЗ, кроме нарушений конфиденциальности, прав третьих лиц, требований к персональным данным и случаев, где ограничение запрещено законом. Для потребителя ограничение не применяется. Возврат неотработанного аванса не ограничивается указанным пределом. За просрочку денежного обязательства применяются проценты по статье 395 ГК РФ в установленных законом пределах.</w:t>
      </w:r>
    </w:p>
    <w:p>
      <w:r>
        <w:t>9.5. Непреодолимая сила освобождает от ответственности только при доказанной чрезвычайности, непредотвратимости и причинной связи. Обычный сбой, отсутствие денег или нарушение поставщиком сами по себе такими обстоятельствами не являются. Уведомление направляется в течение 5 рабочих дней, когда это объективно возможно. После 30 календарных дней препятствия Стороны согласуют продолжение либо прекращение с расчётом по закону.</w:t>
      </w:r>
    </w:p>
    <w:p>
      <w:pPr>
        <w:pStyle w:val="1"/>
      </w:pPr>
      <w:r>
        <w:t>10 Документооборот и сообщения</w:t>
      </w:r>
    </w:p>
    <w:p>
      <w:r>
        <w:t>10.1. Договор, ТЗ, дополнения и акты подписываются на бумаге либо через согласованную систему ЭДО с усиленной квалифицированной электронной подписью. Если в ТЗ выбран обмен подписанными скан-копиями, Стороны признают его способом соблюдения письменной формы в допустимых законом пределах при достоверной идентификации отправителя. По запросу предоставляются оригинал или документ с квалифицированной подписью.</w:t>
      </w:r>
    </w:p>
    <w:p>
      <w:r>
        <w:t>10.2. Оперативные согласования ведутся по адресам и с лицами из ТЗ. Координатор уточняет работы в пределах ТЗ; изменение цены, сроков, объёма и прав требует полномочий на это и письменного соглашения. Отправитель сохраняет доказательства доставки сообщений и состава вложений. При компрометации доступа другая Сторона немедленно уведомляется по независимому согласованному каналу.</w:t>
      </w:r>
    </w:p>
    <w:p>
      <w:pPr>
        <w:pStyle w:val="1"/>
      </w:pPr>
      <w:r>
        <w:t>11 Заключительные положения</w:t>
      </w:r>
    </w:p>
    <w:p>
      <w:r>
        <w:t>11.1. Применяется право Российской Федерации. Для предпринимательских заказов срок ответа на претензию — 30 календарных дней с направления, если закон для требования не устанавливает иное. Экономические споры с юридическими лицами и ИП, относящиеся к компетенции арбитражных судов, рассматривает Арбитражный суд города Москвы, кроме случаев исключительной подсудности. Остальные споры рассматриваются по установленным законом правилам.</w:t>
      </w:r>
    </w:p>
    <w:p>
      <w:r>
        <w:t>11.2. Для гражданина, заказывающего исключительно для личных, семейных или домашних нужд, действуют обязательные нормы о защите прав потребителей. Договор не ограничивает законные права на отказ, качество, сроки, ответственность, выбор суда и иные способы защиты; обязательный претензионный порядок для него не вводится.</w:t>
      </w:r>
    </w:p>
    <w:p>
      <w:r>
        <w:t>11.3. Договор действует с подписания до исполнения обязательств. Приложение № 1 — ТЗ и смета; Приложение № 2 — форма акта. Все индивидуальные поля заполняются до подписания; неприменимые отмечаются. Недействительность отдельного условия не прекращает остальные законные обязательства.</w:t>
      </w:r>
    </w:p>
    <w:p>
      <w:pPr>
        <w:pStyle w:val="1"/>
      </w:pPr>
      <w:r>
        <w:t>12 Реквизиты и подписи сторон</w:t>
      </w:r>
    </w:p>
    <w:tbl>
      <w:tblPr>
        <w:tblW w:type="auto" w:w="0"/>
        <w:tblLayout w:type="fixed"/>
        <w:tblLook w:firstColumn="1" w:firstRow="1" w:lastColumn="0" w:lastRow="0" w:noHBand="0" w:noVBand="1" w:val="04A0"/>
      </w:tblPr>
      <w:tblGrid>
        <w:gridCol w:w="4932"/>
        <w:gridCol w:w="4932"/>
      </w:tblGrid>
      <w:tr>
        <w:trPr>
          <w:cantSplit/>
          <w:tblHeader/>
        </w:trPr>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Исполнитель</w:t>
            </w:r>
          </w:p>
        </w:tc>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Заказчик</w:t>
            </w:r>
          </w:p>
        </w:tc>
      </w:tr>
      <w:tr>
        <w:trPr>
          <w:cantSplit/>
        </w:trPr>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ИП Егорова Елена</w:t>
              <w:br/>
              <w:t>ИНН 772989135527</w:t>
              <w:br/>
              <w:t>ОГРНИП 325774600197781</w:t>
              <w:br/>
              <w:t>119330, г. Москва, Ломоносовский проспект, д. 34</w:t>
              <w:br/>
              <w:t>Тел.: +7 915 484-83-08</w:t>
              <w:br/>
              <w:t>orders@egorov-consulting.ru</w:t>
              <w:br/>
              <w:t>Oleg-Yegorov-62@inbox.ru</w:t>
              <w:br/>
              <w:t>Банк / БИК: __________________</w:t>
              <w:br/>
              <w:t>Р/с / к/с: ____________________</w:t>
              <w:br/>
              <w:t>Представитель: Егоров Олег Александрович</w:t>
              <w:br/>
              <w:t>Доверенность № 01 от 16.09.2025</w:t>
              <w:br/>
              <w:t>Подпись: __________ / О. А. Егоров /</w:t>
              <w:br/>
              <w:t>Дата: __________   М. П. (при наличии)</w:t>
            </w:r>
          </w:p>
        </w:tc>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Наименование / Ф. И. О.: ______________</w:t>
              <w:br/>
              <w:t>ИНН / ОГРН / ОГРНИП: _______________</w:t>
              <w:br/>
              <w:t>Адрес: ______________________________</w:t>
              <w:br/>
              <w:t>Телефон: ____________________________</w:t>
              <w:br/>
              <w:t>Электронная почта: ___________________</w:t>
              <w:br/>
              <w:t>Банк / БИК: _________________________</w:t>
              <w:br/>
              <w:t>Р/с / к/с: ___________________________</w:t>
              <w:br/>
              <w:t>Представитель: _______________________</w:t>
              <w:br/>
              <w:t>Основание полномочий: ________________</w:t>
              <w:br/>
              <w:t>Подпись: __________ / _______________ /</w:t>
              <w:br/>
              <w:t>Дата: __________   М. П. (при наличии)</w:t>
            </w:r>
          </w:p>
        </w:tc>
      </w:tr>
    </w:tbl>
    <w:p>
      <w:pPr>
        <w:pStyle w:val="1"/>
      </w:pPr>
      <w:r>
        <w:t>Приложение 1 Техническое задание и смета</w:t>
      </w:r>
    </w:p>
    <w:p>
      <w:r>
        <w:t>К договору № ______ от __________. ТЗ № ______ от __________. Проект: ____________________</w:t>
      </w:r>
    </w:p>
    <w:p>
      <w:r>
        <w:t>Назначение заказа: предпринимательское / профессиональное / личное. Неприменимые поля отметить «не применяется». Детализация может прилагаться подписанными листами с указанием их названия и версии.</w:t>
      </w:r>
    </w:p>
    <w:p>
      <w:pPr>
        <w:pStyle w:val="21"/>
      </w:pPr>
      <w:r>
        <w:t>1 Состав и результат</w:t>
      </w:r>
    </w:p>
    <w:tbl>
      <w:tblPr>
        <w:tblW w:type="auto" w:w="0"/>
        <w:tblLayout w:type="fixed"/>
        <w:tblLook w:firstColumn="1" w:firstRow="1" w:lastColumn="0" w:lastRow="0" w:noHBand="0" w:noVBand="1" w:val="04A0"/>
      </w:tblPr>
      <w:tblGrid>
        <w:gridCol w:w="2268"/>
        <w:gridCol w:w="7597"/>
      </w:tblGrid>
      <w:tr>
        <w:trPr>
          <w:cantSplit/>
          <w:tblHeader/>
        </w:trPr>
        <w:tc>
          <w:tcPr>
            <w:tcW w:type="dxa" w:w="2268"/>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Параметр</w:t>
            </w:r>
          </w:p>
        </w:tc>
        <w:tc>
          <w:tcPr>
            <w:tcW w:type="dxa" w:w="7597"/>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Согласованное условие</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Цель и границы</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Задача, пользователи, сценарии и исключения: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Услуги</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Коды WEB / AUT / AGT / BI / MAT / VIS, названия, количество и базовый объём: __________________</w:t>
              <w:br/>
              <w:t>Редакция реестра и прайса: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Исходные данные</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Материалы, права на них, минимальный комплект для старта, ответственные и даты: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Среда</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Платформа, версии, устройства, браузеры, интеграции, доступы и тестовая среда: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Результат</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Состав файлов, форматы, язык, объём, исходники, инструкции и способ передачи: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Приёмка</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По каждому результату: тестовый сценарий, ожидаемый результат, порог качества, тестовые данные и способ проверки до окончательного платежа: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ИИ и действия</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Сервис, модель, источники, ограничения, контрольная выборка, передача человеку, действия с обязательным подтверждением: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Запуск</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Разрешённые действия в рабочей системе, резервная копия, ответственный, откат, дата и подтверждение запуска: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Сопровождение</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Период, часы, учёт времени, сроки реакции, рабочие часы и исключения: __________________</w:t>
            </w:r>
          </w:p>
        </w:tc>
      </w:tr>
    </w:tbl>
    <w:p>
      <w:pPr>
        <w:pStyle w:val="21"/>
      </w:pPr>
      <w:r>
        <w:t>2 Сроки и смета</w:t>
      </w:r>
    </w:p>
    <w:tbl>
      <w:tblPr>
        <w:tblW w:type="auto" w:w="0"/>
        <w:tblLayout w:type="fixed"/>
        <w:tblLook w:firstColumn="1" w:firstRow="1" w:lastColumn="0" w:lastRow="0" w:noHBand="0" w:noVBand="1" w:val="04A0"/>
      </w:tblPr>
      <w:tblGrid>
        <w:gridCol w:w="4535"/>
        <w:gridCol w:w="2835"/>
        <w:gridCol w:w="2494"/>
      </w:tblGrid>
      <w:tr>
        <w:trPr>
          <w:cantSplit/>
          <w:tblHeader/>
        </w:trPr>
        <w:tc>
          <w:tcPr>
            <w:tcW w:type="dxa" w:w="4535"/>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Этап и результат</w:t>
            </w:r>
          </w:p>
        </w:tc>
        <w:tc>
          <w:tcPr>
            <w:tcW w:type="dxa" w:w="2835"/>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Начало / окончание</w:t>
            </w:r>
          </w:p>
        </w:tc>
        <w:tc>
          <w:tcPr>
            <w:tcW w:type="dxa" w:w="2494"/>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Цена, руб.</w:t>
            </w:r>
          </w:p>
        </w:tc>
      </w:tr>
      <w:tr>
        <w:trPr>
          <w:cantSplit/>
        </w:trPr>
        <w:tc>
          <w:tcPr>
            <w:tcW w:type="dxa" w:w="4535"/>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__________________</w:t>
            </w:r>
          </w:p>
        </w:tc>
        <w:tc>
          <w:tcPr>
            <w:tcW w:type="dxa" w:w="2835"/>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__________________</w:t>
            </w:r>
          </w:p>
        </w:tc>
        <w:tc>
          <w:tcPr>
            <w:tcW w:type="dxa" w:w="2494"/>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w:t>
            </w:r>
          </w:p>
        </w:tc>
      </w:tr>
      <w:tr>
        <w:trPr>
          <w:cantSplit/>
        </w:trPr>
        <w:tc>
          <w:tcPr>
            <w:tcW w:type="dxa" w:w="4535"/>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__________________</w:t>
            </w:r>
          </w:p>
        </w:tc>
        <w:tc>
          <w:tcPr>
            <w:tcW w:type="dxa" w:w="2835"/>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__________________</w:t>
            </w:r>
          </w:p>
        </w:tc>
        <w:tc>
          <w:tcPr>
            <w:tcW w:type="dxa" w:w="2494"/>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____________</w:t>
            </w:r>
          </w:p>
        </w:tc>
      </w:tr>
    </w:tbl>
    <w:p>
      <w:r>
        <w:t>Условия старта и общий срок: __________________. Сроки согласований Заказчика: __________________.</w:t>
      </w:r>
    </w:p>
    <w:tbl>
      <w:tblPr>
        <w:tblW w:type="auto" w:w="0"/>
        <w:tblLayout w:type="fixed"/>
        <w:tblLook w:firstColumn="1" w:firstRow="1" w:lastColumn="0" w:lastRow="0" w:noHBand="0" w:noVBand="1" w:val="04A0"/>
      </w:tblPr>
      <w:tblGrid>
        <w:gridCol w:w="6803"/>
        <w:gridCol w:w="3061"/>
      </w:tblGrid>
      <w:tr>
        <w:trPr>
          <w:cantSplit/>
          <w:tblHeader/>
        </w:trPr>
        <w:tc>
          <w:tcPr>
            <w:tcW w:type="dxa" w:w="6803"/>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Позиция</w:t>
            </w:r>
          </w:p>
        </w:tc>
        <w:tc>
          <w:tcPr>
            <w:tcW w:type="dxa" w:w="3061"/>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Сумма, руб.</w:t>
            </w:r>
          </w:p>
        </w:tc>
      </w:tr>
      <w:tr>
        <w:trPr>
          <w:cantSplit/>
        </w:trPr>
        <w:tc>
          <w:tcPr>
            <w:tcW w:type="dxa" w:w="6803"/>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Проектные работы и услуги</w:t>
            </w:r>
          </w:p>
        </w:tc>
        <w:tc>
          <w:tcPr>
            <w:tcW w:type="dxa" w:w="3061"/>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w:t>
            </w:r>
          </w:p>
        </w:tc>
      </w:tr>
      <w:tr>
        <w:trPr>
          <w:cantSplit/>
        </w:trPr>
        <w:tc>
          <w:tcPr>
            <w:tcW w:type="dxa" w:w="6803"/>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Сопровождение</w:t>
            </w:r>
          </w:p>
        </w:tc>
        <w:tc>
          <w:tcPr>
            <w:tcW w:type="dxa" w:w="3061"/>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____________</w:t>
            </w:r>
          </w:p>
        </w:tc>
      </w:tr>
      <w:tr>
        <w:trPr>
          <w:cantSplit/>
        </w:trPr>
        <w:tc>
          <w:tcPr>
            <w:tcW w:type="dxa" w:w="6803"/>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Согласованные внешние расходы и их предел</w:t>
            </w:r>
          </w:p>
        </w:tc>
        <w:tc>
          <w:tcPr>
            <w:tcW w:type="dxa" w:w="3061"/>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w:t>
            </w:r>
          </w:p>
        </w:tc>
      </w:tr>
      <w:tr>
        <w:trPr>
          <w:cantSplit/>
        </w:trPr>
        <w:tc>
          <w:tcPr>
            <w:tcW w:type="dxa" w:w="6803"/>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Зачёт оплаченного пилота / прототипа / применимого объёма</w:t>
            </w:r>
          </w:p>
        </w:tc>
        <w:tc>
          <w:tcPr>
            <w:tcW w:type="dxa" w:w="3061"/>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 ____________</w:t>
            </w:r>
          </w:p>
        </w:tc>
      </w:tr>
      <w:tr>
        <w:trPr>
          <w:cantSplit/>
        </w:trPr>
        <w:tc>
          <w:tcPr>
            <w:tcW w:type="dxa" w:w="6803"/>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ИТОГО</w:t>
            </w:r>
          </w:p>
        </w:tc>
        <w:tc>
          <w:tcPr>
            <w:tcW w:type="dxa" w:w="3061"/>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____________</w:t>
            </w:r>
          </w:p>
        </w:tc>
      </w:tr>
      <w:tr>
        <w:trPr>
          <w:cantSplit/>
        </w:trPr>
        <w:tc>
          <w:tcPr>
            <w:tcW w:type="dxa" w:w="6803"/>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Аванс 50% / окончательный платёж 50%</w:t>
            </w:r>
          </w:p>
        </w:tc>
        <w:tc>
          <w:tcPr>
            <w:tcW w:type="dxa" w:w="3061"/>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____________ / ____________</w:t>
            </w:r>
          </w:p>
        </w:tc>
      </w:tr>
    </w:tbl>
    <w:p>
      <w:r>
        <w:t>Цена прописью: __________________. НДС (ставка, сумма либо основание неначисления): __________________. При поэтапной оплате суммы 50/50 рассчитываются по каждому этапу. Вознаграждение по пунктам 7.2 и 7.4 включено в цену, сверх неё не начисляется; указать объекты и соответствующую цену для расчёта: __________________.</w:t>
      </w:r>
    </w:p>
    <w:p>
      <w:pPr>
        <w:pStyle w:val="21"/>
      </w:pPr>
      <w:r>
        <w:t>3 Права данные и взаимодействие</w:t>
      </w:r>
    </w:p>
    <w:tbl>
      <w:tblPr>
        <w:tblW w:type="auto" w:w="0"/>
        <w:tblLayout w:type="fixed"/>
        <w:tblLook w:firstColumn="1" w:firstRow="1" w:lastColumn="0" w:lastRow="0" w:noHBand="0" w:noVBand="1" w:val="04A0"/>
      </w:tblPr>
      <w:tblGrid>
        <w:gridCol w:w="2268"/>
        <w:gridCol w:w="7597"/>
      </w:tblGrid>
      <w:tr>
        <w:trPr>
          <w:cantSplit/>
          <w:tblHeader/>
        </w:trPr>
        <w:tc>
          <w:tcPr>
            <w:tcW w:type="dxa" w:w="2268"/>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Параметр</w:t>
            </w:r>
          </w:p>
        </w:tc>
        <w:tc>
          <w:tcPr>
            <w:tcW w:type="dxa" w:w="7597"/>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Согласованное условие</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Индивидуальные объекты</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Перечень создаваемых объектов с передачей исключительного права: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Иные компоненты</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Предсуществующие компоненты Исполнителя; сторонние материалы и лицензии; ИИ-материалы и ограничения: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Внешние сервисы</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Наименования, владельцы аккаунтов, тарифы, сроки, лимиты, размещение данных и экспорт: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Конфиденциальность</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NDA № ______ от ______ либо раздел 8. Разрешённые передачи внешним сервисам, цели и объём: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Персональные данные</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Тестовые / обезличенные сведения либо отдельное поручение № ______ от ______. Обработчики, страны, локализация, хранение и удаление: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Координаторы</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Исполнитель: Ф. И. О., контакты, полномочия: __________________</w:t>
              <w:br/>
              <w:t>Заказчик: Ф. И. О., контакты, полномочия: __________________</w:t>
            </w:r>
          </w:p>
        </w:tc>
      </w:tr>
      <w:tr>
        <w:trPr>
          <w:cantSplit/>
        </w:trPr>
        <w:tc>
          <w:tcPr>
            <w:tcW w:type="dxa" w:w="2268"/>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Подписание и передача</w:t>
            </w:r>
          </w:p>
        </w:tc>
        <w:tc>
          <w:tcPr>
            <w:tcW w:type="dxa" w:w="7597"/>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Бумага / УКЭП в ЭДО / скан-копии. Оператор и идентификаторы ЭДО, адреса уполномоченных подписантов: __________________</w:t>
            </w:r>
          </w:p>
        </w:tc>
      </w:tr>
      <w:tr>
        <w:trPr>
          <w:cantSplit/>
        </w:trPr>
        <w:tc>
          <w:tcPr>
            <w:tcW w:type="dxa" w:w="2268"/>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Особые условия</w:t>
            </w:r>
          </w:p>
        </w:tc>
        <w:tc>
          <w:tcPr>
            <w:tcW w:type="dxa" w:w="7597"/>
            <w:tcBorders>
              <w:top w:val="single" w:sz="4" w:color="D9D9D9"/>
              <w:left w:val="single" w:sz="4" w:color="D9D9D9"/>
              <w:bottom w:val="single" w:sz="4" w:color="D9D9D9"/>
              <w:right w:val="single" w:sz="4" w:color="D9D9D9"/>
            </w:tcBorders>
            <w:shd w:fill="FFFFFF"/>
            <w:vAlign w:val="center"/>
          </w:tcPr>
          <w:p>
            <w:pPr>
              <w:spacing w:after="80" w:before="80"/>
            </w:pPr>
            <w:r>
              <w:rPr>
                <w:b w:val="0"/>
                <w:color w:val="20252B"/>
                <w:sz w:val="18"/>
              </w:rPr>
              <w:t>Отступления от типовых условий и дополнительные приложения либо «отсутствуют»: __________________</w:t>
            </w:r>
          </w:p>
        </w:tc>
      </w:tr>
    </w:tbl>
    <w:p>
      <w:pPr>
        <w:spacing w:after="100" w:line="80" w:lineRule="exact"/>
      </w:pPr>
    </w:p>
    <w:tbl>
      <w:tblPr>
        <w:tblW w:type="auto" w:w="0"/>
        <w:tblLayout w:type="fixed"/>
        <w:tblLook w:firstColumn="1" w:firstRow="1" w:lastColumn="0" w:lastRow="0" w:noHBand="0" w:noVBand="1" w:val="04A0"/>
      </w:tblPr>
      <w:tblGrid>
        <w:gridCol w:w="4932"/>
        <w:gridCol w:w="4932"/>
      </w:tblGrid>
      <w:tr>
        <w:trPr>
          <w:cantSplit/>
          <w:tblHeader/>
        </w:trPr>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Исполнитель</w:t>
            </w:r>
          </w:p>
        </w:tc>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Заказчик</w:t>
            </w:r>
          </w:p>
        </w:tc>
      </w:tr>
      <w:tr>
        <w:trPr>
          <w:cantSplit/>
        </w:trPr>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Представитель: Егоров Олег Александрович</w:t>
              <w:br/>
              <w:t>Доверенность № 01 от 16.09.2025</w:t>
              <w:br/>
              <w:t>Подпись: __________ / О. А. Егоров /</w:t>
              <w:br/>
              <w:t>Дата: __________   М. П. (при наличии)</w:t>
            </w:r>
          </w:p>
        </w:tc>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Представитель: _______________________</w:t>
              <w:br/>
              <w:t>Основание полномочий: ________________</w:t>
              <w:br/>
              <w:t>Подпись: __________ / _______________ /</w:t>
              <w:br/>
              <w:t>Дата: __________   М. П. (при наличии)</w:t>
            </w:r>
          </w:p>
        </w:tc>
      </w:tr>
    </w:tbl>
    <w:p>
      <w:pPr>
        <w:pStyle w:val="1"/>
      </w:pPr>
      <w:r>
        <w:t>Приложение 2 Форма акта</w:t>
      </w:r>
    </w:p>
    <w:p>
      <w:r>
        <w:t>К договору № ______ от __________. Акт № ______ от __________. ТЗ № ______ от __________.</w:t>
      </w:r>
    </w:p>
    <w:p>
      <w:r>
        <w:t>ИП Егорова Елена в лице Егорова Олега Александровича по доверенности № 01 от 16.09.2025 и Заказчик __________________ в лице __________________, действующего на основании __________________, составили акт о следующем.</w:t>
      </w:r>
    </w:p>
    <w:p>
      <w:r>
        <w:t>1. Выполненные услуги, работы и этапы: ____________________________________.</w:t>
      </w:r>
    </w:p>
    <w:p>
      <w:r>
        <w:t>2. Переданные результаты, имена и версии файлов, исходники, инструкции, доступы и способ передачи: ____________________________________.</w:t>
      </w:r>
    </w:p>
    <w:p>
      <w:r>
        <w:t>3. Выполненные проверки и соответствие критериям ТЗ: ____________________________________.</w:t>
      </w:r>
    </w:p>
    <w:p>
      <w:r>
        <w:t>4. Приёмка: без замечаний / с перечнем замечаний в приложении № ______. Срок и порядок устранения: ____________________________________.</w:t>
      </w:r>
    </w:p>
    <w:p>
      <w:r>
        <w:t>5. Цена принятого объёма: __________ руб. НДС: __________. Оплачено: __________ руб. Осталось к оплате: __________ руб.</w:t>
      </w:r>
    </w:p>
    <w:p>
      <w:r>
        <w:t>6. Финальная передача и переход прав осуществляются по разделам 4 и 7 договора. Перечень объектов и сторонних ограничений: ____________________________________.</w:t>
      </w:r>
    </w:p>
    <w:p>
      <w:r>
        <w:t>7. Дата начала и срок гарантии на программный результат: __________________. Сопровождение: не заказано / по ТЗ № ______.</w:t>
      </w:r>
    </w:p>
    <w:p>
      <w:r>
        <w:t>8. Акт не ограничивает предусмотренные законом требования по скрытым недостаткам и права потребителя.</w:t>
      </w:r>
    </w:p>
    <w:tbl>
      <w:tblPr>
        <w:tblW w:type="auto" w:w="0"/>
        <w:tblLayout w:type="fixed"/>
        <w:tblLook w:firstColumn="1" w:firstRow="1" w:lastColumn="0" w:lastRow="0" w:noHBand="0" w:noVBand="1" w:val="04A0"/>
      </w:tblPr>
      <w:tblGrid>
        <w:gridCol w:w="4932"/>
        <w:gridCol w:w="4932"/>
      </w:tblGrid>
      <w:tr>
        <w:trPr>
          <w:cantSplit/>
          <w:tblHeader/>
        </w:trPr>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Исполнитель</w:t>
            </w:r>
          </w:p>
        </w:tc>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Заказчик</w:t>
            </w:r>
          </w:p>
        </w:tc>
      </w:tr>
      <w:tr>
        <w:trPr>
          <w:cantSplit/>
        </w:trPr>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Представитель: Егоров Олег Александрович</w:t>
              <w:br/>
              <w:t>Доверенность № 01 от 16.09.2025</w:t>
              <w:br/>
              <w:t>Подпись: __________ / О. А. Егоров /</w:t>
              <w:br/>
              <w:t>Дата: __________   М. П. (при наличии)</w:t>
            </w:r>
          </w:p>
        </w:tc>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Представитель: _______________________</w:t>
              <w:br/>
              <w:t>Основание полномочий: ________________</w:t>
              <w:br/>
              <w:t>Подпись: __________ / _______________ /</w:t>
              <w:br/>
              <w:t>Дата: __________   М. П. (при наличии)</w:t>
            </w:r>
          </w:p>
        </w:tc>
      </w:tr>
    </w:tbl>
    <w:sectPr w:rsidR="00482019" w:rsidRPr="00482019" w:rsidSect="00034616">
      <w:footerReference w:type="default" r:id="rId10"/>
      <w:headerReference w:type="first" r:id="rId11"/>
      <w:footerReference w:type="first" r:id="rId12"/>
      <w:pgSz w:w="11906" w:h="16838"/>
      <w:pgMar w:top="2120" w:right="1020" w:bottom="940" w:left="1020" w:header="0" w:footer="4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3497" w:rsidRDefault="00CA3497">
      <w:pPr>
        <w:spacing w:after="0" w:line="240" w:lineRule="auto"/>
      </w:pPr>
      <w:r>
        <w:separator/>
      </w:r>
    </w:p>
  </w:endnote>
  <w:endnote w:type="continuationSeparator" w:id="0">
    <w:p w:rsidR="00CA3497" w:rsidRDefault="00CA3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Договор цифровых услуг · 14.10.2026 · ред. 01    |    </w:t>
    </w:r>
    <w:fldSimple w:instr="PAG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Договор цифровых услуг · 14.10.2026 · ред. 01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3497" w:rsidRDefault="00CA3497">
      <w:pPr>
        <w:spacing w:after="0" w:line="240" w:lineRule="auto"/>
      </w:pPr>
      <w:r>
        <w:separator/>
      </w:r>
    </w:p>
  </w:footnote>
  <w:footnote w:type="continuationSeparator" w:id="0">
    <w:p w:rsidR="00CA3497" w:rsidRDefault="00CA3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5"/>
      <w:spacing w:line="20" w:lineRule="exact"/>
    </w:pPr>
    <w:r>
      <w:rPr>
        <w:noProof/>
      </w:rPr>
      <w:drawing>
        <wp:anchor distT="0" distB="0" distL="0" distR="0" simplePos="0" relativeHeight="251658240" behindDoc="1" locked="0" layoutInCell="0" allowOverlap="1">
          <wp:simplePos x="0" y="0"/>
          <wp:positionH relativeFrom="page">
            <wp:posOffset>0</wp:posOffset>
          </wp:positionH>
          <wp:positionV relativeFrom="page">
            <wp:posOffset>0</wp:posOffset>
          </wp:positionV>
          <wp:extent cx="7560310" cy="1041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header.png"/>
                  <pic:cNvPicPr/>
                </pic:nvPicPr>
                <pic:blipFill>
                  <a:blip r:embed="rId1"/>
                  <a:stretch>
                    <a:fillRect/>
                  </a:stretch>
                </pic:blipFill>
                <pic:spPr>
                  <a:xfrm>
                    <a:off x="0" y="0"/>
                    <a:ext cx="7560310" cy="1041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FE1"/>
    <w:rsid w:val="00326F90"/>
    <w:rsid w:val="0039520A"/>
    <w:rsid w:val="00482019"/>
    <w:rsid w:val="00AA1D8D"/>
    <w:rsid w:val="00AA53A1"/>
    <w:rsid w:val="00B47730"/>
    <w:rsid w:val="00CA3497"/>
    <w:rsid w:val="00CB0664"/>
    <w:rsid w:val="00EC2D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534C0"/>
  <w14:defaultImageDpi w14:val="300"/>
  <w15:docId w15:val="{7BB6AEB0-5669-457E-9A61-0864B88C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20252B"/>
      <w:sz w:val="20"/>
    </w:rPr>
  </w:style>
  <w:style w:type="paragraph" w:styleId="1">
    <w:name w:val="heading 1"/>
    <w:basedOn w:val="a1"/>
    <w:next w:val="a1"/>
    <w:link w:val="10"/>
    <w:uiPriority w:val="9"/>
    <w:qFormat/>
    <w:rsid w:val="00FC693F"/>
    <w:pPr>
      <w:keepNext/>
      <w:keepLines/>
      <w:spacing w:after="120" w:line="480" w:lineRule="exact" w:before="200"/>
      <w:outlineLvl w:val="0"/>
    </w:pPr>
    <w:rPr>
      <w:rFonts w:asciiTheme="majorHAnsi" w:eastAsiaTheme="majorEastAsia" w:hAnsiTheme="majorHAnsi" w:cstheme="majorBidi" w:ascii="Arial" w:hAnsi="Arial"/>
      <w:b/>
      <w:bCs/>
      <w:color w:val="000000"/>
      <w:sz w:val="26"/>
      <w:szCs w:val="28"/>
    </w:rPr>
  </w:style>
  <w:style w:type="paragraph" w:styleId="21">
    <w:name w:val="heading 2"/>
    <w:basedOn w:val="a1"/>
    <w:next w:val="a1"/>
    <w:link w:val="22"/>
    <w:uiPriority w:val="9"/>
    <w:unhideWhenUsed/>
    <w:qFormat/>
    <w:rsid w:val="00FC693F"/>
    <w:pPr>
      <w:keepNext/>
      <w:keepLines/>
      <w:spacing w:before="200" w:after="120" w:line="320" w:lineRule="exact"/>
      <w:outlineLvl w:val="1"/>
    </w:pPr>
    <w:rPr>
      <w:rFonts w:asciiTheme="majorHAnsi" w:eastAsiaTheme="majorEastAsia" w:hAnsiTheme="majorHAnsi" w:cstheme="majorBidi" w:ascii="Arial" w:hAnsi="Arial"/>
      <w:b/>
      <w:bCs/>
      <w:color w:val="000000"/>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20" w:line="480" w:lineRule="exact" w:before="20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00" w:line="259" w:lineRule="auto"/>
    </w:pPr>
    <w:rPr>
      <w:rFonts w:ascii="Arial" w:hAnsi="Arial"/>
      <w:color w:val="20252B"/>
      <w:sz w:val="20"/>
    </w:r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6F4C0-1247-4C85-9DCD-DBE7B4CE4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1611</Words>
  <Characters>9318</Characters>
  <Application>Microsoft Office Word</Application>
  <DocSecurity>0</DocSecurity>
  <Lines>388</Lines>
  <Paragraphs>303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Реестр услуг — Цифровые решения и искусственный интеллект</vt:lpstr>
      <vt:lpstr/>
    </vt:vector>
  </TitlesOfParts>
  <Manager/>
  <Company/>
  <LinksUpToDate>false</LinksUpToDate>
  <CharactersWithSpaces>10626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цифровых услуг</dc:title>
  <dc:subject/>
  <dc:creator>Егоров и Ко Консалтинг</dc:creator>
  <cp:keywords/>
  <dc:description/>
  <cp:lastModifiedBy>Пользователь</cp:lastModifiedBy>
  <cp:revision>2</cp:revision>
  <dcterms:created xsi:type="dcterms:W3CDTF">2026-10-13T08:42:00Z</dcterms:created>
  <dcterms:modified xsi:type="dcterms:W3CDTF">2026-10-13T08:42:00Z</dcterms:modified>
  <cp:category/>
</cp:coreProperties>
</file>