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80000"/>
            <wp:wrapNone/>
            <wp:docPr id="1" name="Picture 1" title="Егоров и Ко Консалтинг — Отдел переводов" descr="Логотип и реквизиты ИП Егорова Елена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header-balance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0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Title"/>
        <w:spacing w:before="1160"/>
      </w:pPr>
      <w:r>
        <w:t>РАМОЧНЫЙ ДОГОВОР ОКАЗАНИЯ ПЕРЕВОДЧЕСКИХ УСЛУГ</w:t>
      </w:r>
    </w:p>
    <w:p>
      <w:pPr>
        <w:spacing w:after="200"/>
      </w:pPr>
      <w:r>
        <w:rPr>
          <w:b/>
          <w:color w:val="26303B"/>
          <w:sz w:val="24"/>
        </w:rPr>
        <w:t>С приложением-заказом</w:t>
      </w:r>
    </w:p>
    <w:p>
      <w:pPr>
        <w:spacing w:after="200"/>
      </w:pPr>
      <w:r>
        <w:rPr>
          <w:b/>
          <w:color w:val="26303B"/>
          <w:sz w:val="16"/>
        </w:rPr>
        <w:t>РЕДАКТИРУЕМЫЙ ШАБЛОН</w:t>
      </w:r>
    </w:p>
    <w:p>
      <w:pPr>
        <w:spacing w:after="200"/>
        <w:pBdr>
          <w:bottom w:val="single" w:sz="18" w:color="9CA3AF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264"/>
      </w:tblGrid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Номер договора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№ 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Место и дата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г. Москва, «___» __________ 20__ г.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Исполнитель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Индивидуальный предприниматель Егорова Елена, ИНН 772989135527, ОГРНИП 325774600197781</w:t>
            </w:r>
          </w:p>
        </w:tc>
      </w:tr>
    </w:tbl>
    <w:p/>
    <w:p>
      <w:pPr>
        <w:pStyle w:val="Heading1"/>
      </w:pPr>
      <w:r>
        <w:t>1. Предмет договора</w:t>
      </w:r>
    </w:p>
    <w:p>
      <w:r>
        <w:t>Исполнитель по заданиям Заказчика оказывает услуги письменного и/или устного перевода, редактуры, корректуры, вёрстки и иные согласованные услуги, а Заказчик принимает результат и оплачивает услуги. Конкретный состав, язык, объём, сроки, цена, порядок оплаты, срок замечаний и предел ответственности определяются в Приложении-заказе.</w:t>
      </w:r>
    </w:p>
    <w:p>
      <w:pPr>
        <w:pStyle w:val="Heading1"/>
      </w:pPr>
      <w:r>
        <w:t>2. Порядок согласования заказа</w:t>
      </w:r>
    </w:p>
    <w:p>
      <w:r>
        <w:t>Приложение-заказ подписывается собственноручно или через ЭДО. До подписания стороны вправе предварительно согласовать параметры по юридически значимому email. Если приложение предусматривает этапы, каждый этап принимается и оплачивается отдельно.</w:t>
      </w:r>
    </w:p>
    <w:p>
      <w:pPr>
        <w:pStyle w:val="Heading1"/>
      </w:pPr>
      <w:r>
        <w:t>3. Обязанности Исполнителя</w:t>
      </w:r>
    </w:p>
    <w:p>
      <w:pPr>
        <w:pStyle w:val="ListBullet"/>
        <w:ind w:left="360" w:hanging="230"/>
      </w:pPr>
      <w:r>
        <w:t>оказать услуги профессионально и в согласованный срок;</w:t>
      </w:r>
    </w:p>
    <w:p>
      <w:pPr>
        <w:pStyle w:val="ListBullet"/>
        <w:ind w:left="360" w:hanging="230"/>
      </w:pPr>
      <w:r>
        <w:t>сохранять структуру и форматирование в пределах согласованного задания;</w:t>
      </w:r>
    </w:p>
    <w:p>
      <w:pPr>
        <w:pStyle w:val="ListBullet"/>
        <w:ind w:left="360" w:hanging="230"/>
      </w:pPr>
      <w:r>
        <w:t>сообщать о выявленных дефектах исходников и обстоятельствах, влияющих на срок или цену;</w:t>
      </w:r>
    </w:p>
    <w:p>
      <w:pPr>
        <w:pStyle w:val="ListBullet"/>
        <w:ind w:left="360" w:hanging="230"/>
      </w:pPr>
      <w:r>
        <w:t>обеспечивать конфиденциальность и защиту персональных данных;</w:t>
      </w:r>
    </w:p>
    <w:p>
      <w:pPr>
        <w:pStyle w:val="ListBullet"/>
        <w:ind w:left="360" w:hanging="230"/>
      </w:pPr>
      <w:r>
        <w:t>по согласованию выполнить один раунд мотивированных правок.</w:t>
      </w:r>
    </w:p>
    <w:p>
      <w:r>
        <w:t>Исполнитель вправе привлекать переводчиков, редакторов и иных специалистов, оставаясь ответственным перед Заказчиком за результат.</w:t>
      </w:r>
    </w:p>
    <w:p>
      <w:pPr>
        <w:pStyle w:val="Heading1"/>
      </w:pPr>
      <w:r>
        <w:t>4. Обязанности Заказчика</w:t>
      </w:r>
    </w:p>
    <w:p>
      <w:pPr>
        <w:pStyle w:val="ListBullet"/>
        <w:ind w:left="360" w:hanging="230"/>
      </w:pPr>
      <w:r>
        <w:t>своевременно передать полные и читаемые материалы, терминологию и требования;</w:t>
      </w:r>
    </w:p>
    <w:p>
      <w:pPr>
        <w:pStyle w:val="ListBullet"/>
        <w:ind w:left="360" w:hanging="230"/>
      </w:pPr>
      <w:r>
        <w:t>гарантировать законность передачи документов и наличие необходимых прав;</w:t>
      </w:r>
    </w:p>
    <w:p>
      <w:pPr>
        <w:pStyle w:val="ListBullet"/>
        <w:ind w:left="360" w:hanging="230"/>
      </w:pPr>
      <w:r>
        <w:t>дать ответы на уточняющие вопросы;</w:t>
      </w:r>
    </w:p>
    <w:p>
      <w:pPr>
        <w:pStyle w:val="ListBullet"/>
        <w:ind w:left="360" w:hanging="230"/>
      </w:pPr>
      <w:r>
        <w:t>принять и оплатить услуги в согласованном порядке;</w:t>
      </w:r>
    </w:p>
    <w:p>
      <w:pPr>
        <w:pStyle w:val="ListBullet"/>
        <w:ind w:left="360" w:hanging="230"/>
      </w:pPr>
      <w:r>
        <w:t>не использовать предварительный черновик как окончательный результат, если он обозначен соответствующим образом.</w:t>
      </w:r>
    </w:p>
    <w:p>
      <w:pPr>
        <w:pStyle w:val="Heading1"/>
      </w:pPr>
      <w:r>
        <w:t>5. Передача и приёмка</w:t>
      </w:r>
    </w:p>
    <w:p>
      <w:r>
        <w:t>Результат передаётся по email, через ЭДО либо иным способом из Приложения-заказа. Заказчик направляет мотивированные замечания в срок, установленный приложением. При отсутствии замечаний в указанный срок результат считается принятым, если иное не предусмотрено приложением. Акт оформляется по запросу стороны.</w:t>
      </w:r>
    </w:p>
    <w:p>
      <w:pPr>
        <w:pStyle w:val="Heading1"/>
      </w:pPr>
      <w:r>
        <w:t>6. Цена и расчёты</w:t>
      </w:r>
    </w:p>
    <w:p>
      <w:r>
        <w:t>Цена и график оплаты определяются Приложением-заказом. Расчёты производятся без НДС в связи с применением освобождения от исполнения обязанностей налогоплательщика НДС. При отказе Заказчик оплачивает фактически выполненные работы и документально подтверждённые расходы.</w:t>
      </w:r>
    </w:p>
    <w:p>
      <w:pPr>
        <w:pStyle w:val="Heading1"/>
      </w:pPr>
      <w:r>
        <w:t>7. Ответственность</w:t>
      </w:r>
    </w:p>
    <w:p>
      <w:r>
        <w:t>За просрочку оплаты Заказчик уплачивает 0,1% задолженности за каждый день, но не более 10%. Ответственность Исполнителя ограничивается суммой, указанной в Приложении-заказе, кроме случаев, когда ограничение запрещено законом. Стороны не отвечают за нарушение вследствие форс-мажора при надлежащем уведомлении.</w:t>
      </w:r>
    </w:p>
    <w:p>
      <w:pPr>
        <w:pStyle w:val="Heading1"/>
      </w:pPr>
      <w:r>
        <w:t>8. Конфиденциальность и персональные данные</w:t>
      </w:r>
    </w:p>
    <w:p>
      <w:r>
        <w:t>Стороны соблюдают отдельное NDA при его наличии. Исполнитель обрабатывает персональные данные только в объёме, необходимом для заказа, и вправе поручать обработку привлечённым специалистам при сохранении ответственности и конфиденциальности.</w:t>
      </w:r>
    </w:p>
    <w:p>
      <w:pPr>
        <w:pStyle w:val="Heading1"/>
      </w:pPr>
      <w:r>
        <w:t>9. Интеллектуальные права и портфолио</w:t>
      </w:r>
    </w:p>
    <w:p>
      <w:r>
        <w:t>Исключительные права на созданный перевод в объёме, допускаемом законом, переходят Заказчику при передаче результата, если Приложением-заказом не установлено иное. Исполнитель вправе использовать обезличенные фрагменты результата в портфолио без отдельного согласия, если по ним нельзя идентифицировать Заказчика, субъектов данных или конфиденциальный проект.</w:t>
      </w:r>
    </w:p>
    <w:p>
      <w:pPr>
        <w:pStyle w:val="Heading1"/>
      </w:pPr>
      <w:r>
        <w:t>10. Срок и прекращение</w:t>
      </w:r>
    </w:p>
    <w:p>
      <w:r>
        <w:t>Договор действует с момента подписания до прекращения по соглашению либо письменному уведомлению. Прекращение не освобождает от оплаты, конфиденциальности и иных обязательств, которые по своей природе сохраняются.</w:t>
      </w:r>
    </w:p>
    <w:p>
      <w:pPr>
        <w:pStyle w:val="Heading1"/>
      </w:pPr>
      <w:r>
        <w:t>11. Споры и уведомления</w:t>
      </w:r>
    </w:p>
    <w:p>
      <w:r>
        <w:t>Юридически значимые сообщения направляются по email, указанным в реквизитах и приложении. Споры разрешаются переговорами, затем — в суде г. Москвы, если такая договорная подсудность допустима.</w:t>
      </w:r>
    </w:p>
    <w:p>
      <w:pPr>
        <w:pStyle w:val="Heading1"/>
      </w:pPr>
      <w:r>
        <w:t>12. Реквизиты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264"/>
      </w:tblGrid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Исполнитель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Индивидуальный предприниматель Егорова Елена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ИНН / ОГРНИП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772989135527 / 325774600197781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Расчётный счёт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40802810820000595393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Банк / БИК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ООО «Банк Точка» / 044525104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Корр. счёт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30101810745374525104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Адрес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119330, г. Москва, Ломоносовский проспект, д. 34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Представитель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Управляющий направлением «Егоров и Ко Консалтинг» Егоров Олег Александрович, представитель ИП Егоровой Елены по доверенности № 01 от 16.09.2025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Email / телефон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Oleg-Yegorov-62@inbox.ru / +7 915 484-83-08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Реквизиты Заказчика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</w:tbl>
    <w:p/>
    <w:p>
      <w:pPr>
        <w:sectPr>
          <w:footerReference w:type="default" r:id="rId10"/>
          <w:pgSz w:w="11909" w:h="16834"/>
          <w:pgMar w:top="1020" w:right="1037" w:bottom="864" w:left="1181" w:header="0" w:footer="504" w:gutter="0"/>
          <w:cols w:space="720"/>
          <w:docGrid w:linePitch="360"/>
        </w:sectPr>
      </w:pPr>
    </w:p>
    <w:p>
      <w:pPr>
        <w:pStyle w:val="Title"/>
      </w:pPr>
      <w:r>
        <w:t>ПРИЛОЖЕНИЕ-ЗАКАЗ № 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264"/>
      </w:tblGrid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К договору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№ ____ от «___» _________ 20__ г.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Проект / заказ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Языковая пара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Исходные материалы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Состав услуг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Формат результата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Объём / единица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Срок передачи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Стоимость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 ₽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Порядок оплаты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Срок замечаний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Предел ответственности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Особые требования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____________________________________________</w:t>
            </w:r>
          </w:p>
        </w:tc>
      </w:tr>
    </w:tbl>
    <w:p/>
    <w:p>
      <w:r>
        <w:t>Подписи сторон: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264"/>
      </w:tblGrid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Исполнитель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 / Егоров О.А.</w:t>
            </w:r>
          </w:p>
        </w:tc>
      </w:tr>
      <w:tr>
        <w:tc>
          <w:tcPr>
            <w:tcW w:type="dxa" w:w="295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6264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 w:color="auto"/>
          </w:tcPr>
          <w:p>
            <w:r>
              <w:t>________________ / __________________</w:t>
            </w:r>
          </w:p>
        </w:tc>
      </w:tr>
    </w:tbl>
    <w:p/>
    <w:sectPr w:rsidR="00FC693F" w:rsidRPr="0006063C" w:rsidSect="00034616">
      <w:pgSz w:w="11909" w:h="16834"/>
      <w:pgMar w:top="1020" w:right="1037" w:bottom="864" w:left="1181" w:header="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17B"/>
        <w:sz w:val="15"/>
      </w:rPr>
      <w:t>ИП Егорова Елена  ·  ИНН 772989135527  ·  ОГРНИП 325774600197781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9717B"/>
        <w:sz w:val="16"/>
      </w:rPr>
      <w:t>ЕГОРОВ И КО КОНСАЛТИНГ  |  ОТДЕЛ ПЕРЕВОДОВ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rial" w:hAnsi="Arial"/>
      <w:color w:val="26303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26303B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26303B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26303B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26303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26303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6303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03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303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6303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6303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26303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26303B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26303B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26303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26303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6303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26303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26303B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9CA3AF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6303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26303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26303B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26303B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26303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26303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26303B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26303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26303B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26303B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26303B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26303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26303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26303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26303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26303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26303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26303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26303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26303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26303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26303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26303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26303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26303B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26303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26303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26303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6303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6303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26303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26303B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26303B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26303B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26303B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26303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9CA3AF"/>
      </w:pBdr>
      <w:spacing w:before="200" w:after="280"/>
      <w:ind w:left="936" w:right="936"/>
    </w:pPr>
    <w:rPr>
      <w:b/>
      <w:bCs/>
      <w:i/>
      <w:iCs/>
      <w:color w:val="26303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26303B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26303B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26303B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26303B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26303B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26303B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26303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A3AF"/>
          <w:left w:val="nil" w:color="9CA3AF"/>
          <w:bottom w:val="single" w:sz="8" w:space="0" w:color="9CA3AF"/>
          <w:right w:val="nil" w:color="9CA3A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1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1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1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1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1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1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1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V w:val="single" w:sz="8" w:space="0" w:color="9CA3AF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color="9CA3AF"/>
          <w:insideV w:val="nil" w:color="9CA3AF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color="9CA3AF"/>
          <w:insideV w:val="nil" w:color="9CA3AF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 w:color="9CA3AF"/>
          <w:insideV w:val="nil" w:color="9CA3AF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 w:color="9CA3AF"/>
          <w:insideV w:val="nil" w:color="9CA3AF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 w:color="9CA3AF"/>
          <w:insideV w:val="nil" w:color="9CA3AF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 w:color="9CA3AF"/>
          <w:insideV w:val="nil" w:color="9CA3AF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 w:color="9CA3AF"/>
          <w:insideV w:val="nil" w:color="9CA3AF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 w:color="9CA3AF"/>
          <w:insideV w:val="nil" w:color="9CA3AF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color="9CA3AF"/>
          <w:insideV w:val="nil" w:color="9CA3AF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color="9CA3AF"/>
          <w:insideV w:val="nil" w:color="9CA3AF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 w:color="9CA3AF"/>
          <w:insideV w:val="nil" w:color="9CA3AF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 w:color="9CA3AF"/>
          <w:insideV w:val="nil" w:color="9CA3AF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A3AF" w:themeTint="BF"/>
          <w:left w:val="single" w:sz="8" w:space="0" w:color="9CA3AF" w:themeTint="BF"/>
          <w:bottom w:val="single" w:sz="8" w:space="0" w:color="9CA3AF" w:themeTint="BF"/>
          <w:right w:val="single" w:sz="8" w:space="0" w:color="9CA3AF" w:themeTint="BF"/>
          <w:insideH w:val="nil" w:color="9CA3AF"/>
          <w:insideV w:val="nil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 w:color="9CA3AF"/>
          <w:insideV w:val="nil" w:color="9CA3AF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 w:color="9CA3AF"/>
          <w:insideV w:val="nil" w:color="9CA3AF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9CA3AF"/>
        <w:bottom w:val="single" w:sz="1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9CA3AF"/>
        <w:bottom w:val="single" w:sz="1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4F81BD" w:themeFill="accent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9CA3AF"/>
        <w:bottom w:val="single" w:sz="1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C0504D" w:themeFill="accent2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9CA3AF"/>
        <w:bottom w:val="single" w:sz="1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9BBB59" w:themeFill="accent3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9CA3AF"/>
        <w:bottom w:val="single" w:sz="1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8064A2" w:themeFill="accent4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9CA3AF"/>
        <w:bottom w:val="single" w:sz="1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4BACC6" w:themeFill="accent5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9CA3AF"/>
        <w:bottom w:val="single" w:sz="1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F79646" w:themeFill="accent6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9CA3AF"/>
          <w:bottom w:val="single" w:sz="8" w:space="0" w:color="9CA3AF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9CA3AF"/>
          <w:bottom w:val="single" w:sz="8" w:space="0" w:color="9CA3AF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9CA3AF"/>
          <w:bottom w:val="single" w:sz="8" w:space="0" w:color="9CA3AF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9CA3AF"/>
          <w:bottom w:val="single" w:sz="8" w:space="0" w:color="9CA3AF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9CA3AF"/>
          <w:bottom w:val="single" w:sz="8" w:space="0" w:color="9CA3AF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9CA3AF"/>
          <w:bottom w:val="single" w:sz="8" w:space="0" w:color="9CA3AF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bottom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 w:color="9CA3AF"/>
          <w:bottom w:val="single" w:sz="8" w:space="0" w:color="9CA3AF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A3AF"/>
          <w:bottom w:val="single" w:sz="8" w:space="0" w:color="9CA3AF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8" w:space="0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tblPr/>
      <w:tcPr>
        <w:tcBorders>
          <w:top w:val="nil" w:color="9CA3AF"/>
          <w:left w:val="single" w:sz="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color="9CA3AF"/>
          <w:bottom w:val="nil" w:color="9CA3AF"/>
          <w:insideH w:val="nil" w:color="9CA3AF"/>
          <w:insideV w:val="nil" w:color="9CA3AF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color="9CA3AF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8" w:space="0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tblPr/>
      <w:tcPr>
        <w:tcBorders>
          <w:top w:val="nil" w:color="9CA3AF"/>
          <w:left w:val="single" w:sz="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 w:color="9CA3AF"/>
          <w:bottom w:val="nil" w:color="9CA3AF"/>
          <w:insideH w:val="nil" w:color="9CA3AF"/>
          <w:insideV w:val="nil" w:color="9CA3AF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color="9CA3AF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8" w:space="0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tblPr/>
      <w:tcPr>
        <w:tcBorders>
          <w:top w:val="nil" w:color="9CA3AF"/>
          <w:left w:val="single" w:sz="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 w:color="9CA3AF"/>
          <w:bottom w:val="nil" w:color="9CA3AF"/>
          <w:insideH w:val="nil" w:color="9CA3AF"/>
          <w:insideV w:val="nil" w:color="9CA3AF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color="9CA3AF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8" w:space="0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tblPr/>
      <w:tcPr>
        <w:tcBorders>
          <w:top w:val="nil" w:color="9CA3AF"/>
          <w:left w:val="single" w:sz="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 w:color="9CA3AF"/>
          <w:bottom w:val="nil" w:color="9CA3AF"/>
          <w:insideH w:val="nil" w:color="9CA3AF"/>
          <w:insideV w:val="nil" w:color="9CA3AF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color="9CA3AF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8" w:space="0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tblPr/>
      <w:tcPr>
        <w:tcBorders>
          <w:top w:val="nil" w:color="9CA3AF"/>
          <w:left w:val="single" w:sz="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color="9CA3AF"/>
          <w:bottom w:val="nil" w:color="9CA3AF"/>
          <w:insideH w:val="nil" w:color="9CA3AF"/>
          <w:insideV w:val="nil" w:color="9CA3AF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color="9CA3AF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8" w:space="0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tblPr/>
      <w:tcPr>
        <w:tcBorders>
          <w:top w:val="nil" w:color="9CA3AF"/>
          <w:left w:val="single" w:sz="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 w:color="9CA3AF"/>
          <w:bottom w:val="nil" w:color="9CA3AF"/>
          <w:insideH w:val="nil" w:color="9CA3AF"/>
          <w:insideV w:val="nil" w:color="9CA3AF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color="9CA3AF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8" w:space="0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tblPr/>
      <w:tcPr>
        <w:tcBorders>
          <w:top w:val="nil" w:color="9CA3AF"/>
          <w:left w:val="single" w:sz="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band1Vert">
      <w:tblPr/>
      <w:tcPr>
        <w:tcBorders>
          <w:left w:val="nil" w:color="9CA3AF"/>
          <w:right w:val="nil" w:color="9CA3AF"/>
          <w:insideH w:val="nil" w:color="9CA3AF"/>
          <w:insideV w:val="nil" w:color="9CA3AF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 w:color="9CA3AF"/>
          <w:bottom w:val="nil" w:color="9CA3AF"/>
          <w:insideH w:val="nil" w:color="9CA3AF"/>
          <w:insideV w:val="nil" w:color="9CA3AF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color="9CA3AF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  <w:insideV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3AF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  <w:insideV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3AF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  <w:insideV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3AF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  <w:insideV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3AF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  <w:insideV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3AF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  <w:insideV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3AF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 w:themeTint="BF"/>
        <w:left w:val="single" w:sz="8" w:space="0" w:color="9CA3AF" w:themeTint="BF"/>
        <w:bottom w:val="single" w:sz="8" w:space="0" w:color="9CA3AF" w:themeTint="BF"/>
        <w:right w:val="single" w:sz="8" w:space="0" w:color="9CA3AF" w:themeTint="BF"/>
        <w:insideH w:val="single" w:sz="8" w:space="0" w:color="9CA3AF" w:themeTint="BF"/>
        <w:insideV w:val="single" w:sz="8" w:space="0" w:color="9CA3AF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A3AF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9CA3AF"/>
          <w:insideV w:val="single" w:sz="6" w:space="0" w:color="9CA3AF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9CA3AF"/>
          <w:insideV w:val="single" w:sz="6" w:space="0" w:color="9CA3AF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9CA3AF"/>
          <w:insideV w:val="single" w:sz="6" w:space="0" w:color="9CA3AF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CA3AF"/>
          <w:insideV w:val="single" w:sz="6" w:space="0" w:color="9CA3AF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9CA3AF"/>
          <w:insideV w:val="single" w:sz="6" w:space="0" w:color="9CA3AF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9CA3AF"/>
          <w:insideV w:val="single" w:sz="6" w:space="0" w:color="9CA3AF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8" w:space="0" w:color="9CA3AF"/>
        <w:insideV w:val="single" w:sz="8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9CA3AF"/>
          <w:insideV w:val="single" w:sz="6" w:space="0" w:color="9CA3AF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6" w:space="0" w:color="9CA3AF"/>
        <w:insideV w:val="single" w:sz="6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9CA3AF"/>
          <w:left w:val="single" w:sz="8" w:space="0" w:color="9CA3AF"/>
          <w:bottom w:val="single" w:sz="24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9CA3AF"/>
          <w:right w:val="single" w:sz="24" w:space="0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 w:color="9CA3AF"/>
          <w:left w:val="single" w:sz="24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nil" w:color="9CA3AF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single" w:sz="8" w:space="0" w:color="9CA3AF"/>
          <w:insideV w:val="single" w:sz="8" w:space="0" w:color="9CA3AF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6" w:space="0" w:color="9CA3AF"/>
        <w:insideV w:val="single" w:sz="6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9CA3AF"/>
          <w:left w:val="single" w:sz="8" w:space="0" w:color="9CA3AF"/>
          <w:bottom w:val="single" w:sz="24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9CA3AF"/>
          <w:right w:val="single" w:sz="24" w:space="0" w:color="9CA3AF"/>
          <w:insideH w:val="nil" w:color="9CA3AF"/>
          <w:insideV w:val="nil" w:color="9CA3AF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 w:color="9CA3AF"/>
          <w:left w:val="single" w:sz="24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nil" w:color="9CA3AF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single" w:sz="8" w:space="0" w:color="9CA3AF"/>
          <w:insideV w:val="single" w:sz="8" w:space="0" w:color="9CA3A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6" w:space="0" w:color="9CA3AF"/>
        <w:insideV w:val="single" w:sz="6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9CA3AF"/>
          <w:left w:val="single" w:sz="8" w:space="0" w:color="9CA3AF"/>
          <w:bottom w:val="single" w:sz="24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9CA3AF"/>
          <w:right w:val="single" w:sz="24" w:space="0" w:color="9CA3AF"/>
          <w:insideH w:val="nil" w:color="9CA3AF"/>
          <w:insideV w:val="nil" w:color="9CA3AF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 w:color="9CA3AF"/>
          <w:left w:val="single" w:sz="24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nil" w:color="9CA3AF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single" w:sz="8" w:space="0" w:color="9CA3AF"/>
          <w:insideV w:val="single" w:sz="8" w:space="0" w:color="9CA3A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6" w:space="0" w:color="9CA3AF"/>
        <w:insideV w:val="single" w:sz="6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9CA3AF"/>
          <w:left w:val="single" w:sz="8" w:space="0" w:color="9CA3AF"/>
          <w:bottom w:val="single" w:sz="24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9CA3AF"/>
          <w:right w:val="single" w:sz="24" w:space="0" w:color="9CA3AF"/>
          <w:insideH w:val="nil" w:color="9CA3AF"/>
          <w:insideV w:val="nil" w:color="9CA3AF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 w:color="9CA3AF"/>
          <w:left w:val="single" w:sz="24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nil" w:color="9CA3AF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single" w:sz="8" w:space="0" w:color="9CA3AF"/>
          <w:insideV w:val="single" w:sz="8" w:space="0" w:color="9CA3A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6" w:space="0" w:color="9CA3AF"/>
        <w:insideV w:val="single" w:sz="6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9CA3AF"/>
          <w:left w:val="single" w:sz="8" w:space="0" w:color="9CA3AF"/>
          <w:bottom w:val="single" w:sz="24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9CA3AF"/>
          <w:right w:val="single" w:sz="24" w:space="0" w:color="9CA3AF"/>
          <w:insideH w:val="nil" w:color="9CA3AF"/>
          <w:insideV w:val="nil" w:color="9CA3AF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 w:color="9CA3AF"/>
          <w:left w:val="single" w:sz="24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nil" w:color="9CA3AF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single" w:sz="8" w:space="0" w:color="9CA3AF"/>
          <w:insideV w:val="single" w:sz="8" w:space="0" w:color="9CA3A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6" w:space="0" w:color="9CA3AF"/>
        <w:insideV w:val="single" w:sz="6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9CA3AF"/>
          <w:left w:val="single" w:sz="8" w:space="0" w:color="9CA3AF"/>
          <w:bottom w:val="single" w:sz="24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9CA3AF"/>
          <w:right w:val="single" w:sz="24" w:space="0" w:color="9CA3AF"/>
          <w:insideH w:val="nil" w:color="9CA3AF"/>
          <w:insideV w:val="nil" w:color="9CA3AF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 w:color="9CA3AF"/>
          <w:left w:val="single" w:sz="24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nil" w:color="9CA3AF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single" w:sz="8" w:space="0" w:color="9CA3AF"/>
          <w:insideV w:val="single" w:sz="8" w:space="0" w:color="9CA3A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CA3AF"/>
        <w:left w:val="single" w:sz="8" w:space="0" w:color="9CA3AF"/>
        <w:bottom w:val="single" w:sz="8" w:space="0" w:color="9CA3AF"/>
        <w:right w:val="single" w:sz="8" w:space="0" w:color="9CA3AF"/>
        <w:insideH w:val="single" w:sz="6" w:space="0" w:color="9CA3AF"/>
        <w:insideV w:val="single" w:sz="6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9CA3AF"/>
          <w:left w:val="single" w:sz="8" w:space="0" w:color="9CA3AF"/>
          <w:bottom w:val="single" w:sz="24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single" w:sz="8" w:space="0" w:color="9CA3A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9CA3AF"/>
          <w:right w:val="single" w:sz="24" w:space="0" w:color="9CA3AF"/>
          <w:insideH w:val="nil" w:color="9CA3AF"/>
          <w:insideV w:val="nil" w:color="9CA3AF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 w:color="9CA3AF"/>
          <w:left w:val="single" w:sz="24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nil" w:color="9CA3AF"/>
          <w:insideV w:val="nil" w:color="9CA3AF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9CA3AF"/>
          <w:left w:val="single" w:sz="8" w:space="0" w:color="9CA3AF"/>
          <w:bottom w:val="single" w:sz="8" w:space="0" w:color="9CA3AF"/>
          <w:right w:val="single" w:sz="8" w:space="0" w:color="9CA3AF"/>
          <w:insideH w:val="single" w:sz="8" w:space="0" w:color="9CA3AF"/>
          <w:insideV w:val="single" w:sz="8" w:space="0" w:color="9CA3AF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18" w:space="0" w:color="9CA3AF"/>
          <w:insideH w:val="nil" w:color="9CA3AF"/>
          <w:insideV w:val="nil" w:color="9CA3AF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color="9CA3AF"/>
          <w:left w:val="single" w:sz="1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18" w:space="0" w:color="9CA3AF"/>
          <w:insideH w:val="nil" w:color="9CA3AF"/>
          <w:insideV w:val="nil" w:color="9CA3AF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 w:color="9CA3AF"/>
          <w:left w:val="single" w:sz="1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18" w:space="0" w:color="9CA3AF"/>
          <w:insideH w:val="nil" w:color="9CA3AF"/>
          <w:insideV w:val="nil" w:color="9CA3AF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color="9CA3AF"/>
          <w:left w:val="single" w:sz="1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18" w:space="0" w:color="9CA3AF"/>
          <w:insideH w:val="nil" w:color="9CA3AF"/>
          <w:insideV w:val="nil" w:color="9CA3AF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 w:color="9CA3AF"/>
          <w:left w:val="single" w:sz="1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18" w:space="0" w:color="9CA3AF"/>
          <w:insideH w:val="nil" w:color="9CA3AF"/>
          <w:insideV w:val="nil" w:color="9CA3AF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 w:color="9CA3AF"/>
          <w:left w:val="single" w:sz="1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18" w:space="0" w:color="9CA3AF"/>
          <w:insideH w:val="nil" w:color="9CA3AF"/>
          <w:insideV w:val="nil" w:color="9CA3AF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 w:color="9CA3AF"/>
          <w:left w:val="single" w:sz="1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18" w:space="0" w:color="9CA3AF"/>
          <w:right w:val="nil" w:color="9CA3AF"/>
          <w:insideH w:val="nil" w:color="9CA3AF"/>
          <w:insideV w:val="nil" w:color="9CA3AF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 w:color="9CA3AF"/>
          <w:left w:val="nil" w:color="9CA3AF"/>
          <w:bottom w:val="nil" w:color="9CA3AF"/>
          <w:right w:val="single" w:sz="18" w:space="0" w:color="9CA3AF"/>
          <w:insideH w:val="nil" w:color="9CA3AF"/>
          <w:insideV w:val="nil" w:color="9CA3AF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 w:color="9CA3AF"/>
          <w:left w:val="single" w:sz="18" w:space="0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9CA3AF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single" w:sz="4" w:space="0" w:color="9CA3AF" w:themeShade="99"/>
          <w:insideV w:val="nil" w:color="9CA3AF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9CA3AF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single" w:sz="4" w:space="0" w:color="9CA3AF" w:themeShade="99"/>
          <w:insideV w:val="nil" w:color="9CA3AF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9CA3AF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single" w:sz="4" w:space="0" w:color="9CA3AF" w:themeShade="99"/>
          <w:insideV w:val="nil" w:color="9CA3AF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9CA3AF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single" w:sz="4" w:space="0" w:color="9CA3AF" w:themeShade="99"/>
          <w:insideV w:val="nil" w:color="9CA3AF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9CA3AF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single" w:sz="4" w:space="0" w:color="9CA3AF" w:themeShade="99"/>
          <w:insideV w:val="nil" w:color="9CA3AF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9CA3AF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single" w:sz="4" w:space="0" w:color="9CA3AF" w:themeShade="99"/>
          <w:insideV w:val="nil" w:color="9CA3AF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CA3AF"/>
        <w:left w:val="single" w:sz="4" w:space="0" w:color="9CA3AF"/>
        <w:bottom w:val="single" w:sz="4" w:space="0" w:color="9CA3AF"/>
        <w:right w:val="single" w:sz="4" w:space="0" w:color="9CA3AF"/>
        <w:insideH w:val="single" w:sz="4" w:space="0" w:color="9CA3AF"/>
        <w:insideV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color="9CA3AF"/>
          <w:left w:val="nil" w:color="9CA3AF"/>
          <w:bottom w:val="single" w:sz="24" w:space="0" w:color="9CA3AF"/>
          <w:right w:val="nil" w:color="9CA3AF"/>
          <w:insideH w:val="nil" w:color="9CA3AF"/>
          <w:insideV w:val="nil" w:color="9CA3AF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9CA3AF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single" w:sz="4" w:space="0" w:color="9CA3AF" w:themeShade="99"/>
          <w:insideV w:val="nil" w:color="9CA3AF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9CA3AF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9CA3AF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9CA3AF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9CA3AF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9CA3AF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9CA3AF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9CA3AF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9CA3AF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9CA3AF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9CA3AF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9CA3AF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9CA3AF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9CA3AF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9CA3AF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color="9CA3AF"/>
          <w:left w:val="nil" w:color="9CA3AF"/>
          <w:bottom w:val="nil" w:color="9CA3AF"/>
          <w:right w:val="nil" w:color="9CA3AF"/>
          <w:insideH w:val="nil" w:color="9CA3AF"/>
          <w:insideV w:val="nil" w:color="9CA3AF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9CA3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